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343" w:rsidRDefault="00C767FB">
      <w:pPr>
        <w:autoSpaceDE w:val="0"/>
        <w:spacing w:line="200" w:lineRule="atLeast"/>
        <w:jc w:val="center"/>
        <w:rPr>
          <w:rFonts w:ascii="Arial" w:eastAsia="Arial" w:hAnsi="Arial" w:cs="Arial"/>
          <w:b/>
          <w:bCs/>
          <w:sz w:val="18"/>
          <w:szCs w:val="18"/>
        </w:rPr>
      </w:pPr>
      <w:r>
        <w:rPr>
          <w:rFonts w:ascii="Arial" w:eastAsia="Arial" w:hAnsi="Arial" w:cs="Arial"/>
          <w:b/>
          <w:bCs/>
          <w:sz w:val="22"/>
          <w:szCs w:val="22"/>
        </w:rPr>
        <w:t>M</w:t>
      </w:r>
      <w:r>
        <w:rPr>
          <w:rFonts w:ascii="Arial" w:eastAsia="Arial" w:hAnsi="Arial" w:cs="Arial"/>
          <w:b/>
          <w:bCs/>
          <w:sz w:val="18"/>
          <w:szCs w:val="18"/>
        </w:rPr>
        <w:t xml:space="preserve">INISTÉRIO DO </w:t>
      </w:r>
      <w:r>
        <w:rPr>
          <w:rFonts w:ascii="Arial" w:eastAsia="Arial" w:hAnsi="Arial" w:cs="Arial"/>
          <w:b/>
          <w:bCs/>
          <w:sz w:val="22"/>
          <w:szCs w:val="22"/>
        </w:rPr>
        <w:t>M</w:t>
      </w:r>
      <w:r>
        <w:rPr>
          <w:rFonts w:ascii="Arial" w:eastAsia="Arial" w:hAnsi="Arial" w:cs="Arial"/>
          <w:b/>
          <w:bCs/>
          <w:sz w:val="18"/>
          <w:szCs w:val="18"/>
        </w:rPr>
        <w:t xml:space="preserve">EIO </w:t>
      </w:r>
      <w:r>
        <w:rPr>
          <w:rFonts w:ascii="Arial" w:eastAsia="Arial" w:hAnsi="Arial" w:cs="Arial"/>
          <w:b/>
          <w:bCs/>
          <w:sz w:val="22"/>
          <w:szCs w:val="22"/>
        </w:rPr>
        <w:t>A</w:t>
      </w:r>
      <w:r>
        <w:rPr>
          <w:rFonts w:ascii="Arial" w:eastAsia="Arial" w:hAnsi="Arial" w:cs="Arial"/>
          <w:b/>
          <w:bCs/>
          <w:sz w:val="18"/>
          <w:szCs w:val="18"/>
        </w:rPr>
        <w:t>MBIENTE</w:t>
      </w:r>
    </w:p>
    <w:p w:rsidR="001D0343" w:rsidRDefault="00C767FB">
      <w:pPr>
        <w:autoSpaceDE w:val="0"/>
        <w:jc w:val="center"/>
        <w:rPr>
          <w:rFonts w:eastAsia="Times New Roman"/>
          <w:b/>
          <w:bCs/>
          <w:sz w:val="18"/>
          <w:szCs w:val="18"/>
        </w:rPr>
      </w:pPr>
      <w:r>
        <w:rPr>
          <w:rFonts w:eastAsia="Times New Roman"/>
          <w:b/>
          <w:bCs/>
          <w:sz w:val="22"/>
          <w:szCs w:val="22"/>
        </w:rPr>
        <w:t>C</w:t>
      </w:r>
      <w:r>
        <w:rPr>
          <w:rFonts w:eastAsia="Times New Roman"/>
          <w:b/>
          <w:bCs/>
          <w:sz w:val="18"/>
          <w:szCs w:val="18"/>
        </w:rPr>
        <w:t xml:space="preserve">ONSELHO </w:t>
      </w:r>
      <w:r>
        <w:rPr>
          <w:rFonts w:eastAsia="Times New Roman"/>
          <w:b/>
          <w:bCs/>
          <w:sz w:val="22"/>
          <w:szCs w:val="22"/>
        </w:rPr>
        <w:t>N</w:t>
      </w:r>
      <w:r>
        <w:rPr>
          <w:rFonts w:eastAsia="Times New Roman"/>
          <w:b/>
          <w:bCs/>
          <w:sz w:val="18"/>
          <w:szCs w:val="18"/>
        </w:rPr>
        <w:t xml:space="preserve">ACIONAL DE </w:t>
      </w:r>
      <w:r>
        <w:rPr>
          <w:rFonts w:eastAsia="Times New Roman"/>
          <w:b/>
          <w:bCs/>
          <w:sz w:val="22"/>
          <w:szCs w:val="22"/>
        </w:rPr>
        <w:t>R</w:t>
      </w:r>
      <w:r>
        <w:rPr>
          <w:rFonts w:eastAsia="Times New Roman"/>
          <w:b/>
          <w:bCs/>
          <w:sz w:val="18"/>
          <w:szCs w:val="18"/>
        </w:rPr>
        <w:t xml:space="preserve">ECURSOS </w:t>
      </w:r>
      <w:r>
        <w:rPr>
          <w:rFonts w:eastAsia="Times New Roman"/>
          <w:b/>
          <w:bCs/>
          <w:sz w:val="22"/>
          <w:szCs w:val="22"/>
        </w:rPr>
        <w:t>H</w:t>
      </w:r>
      <w:r>
        <w:rPr>
          <w:rFonts w:eastAsia="Times New Roman"/>
          <w:b/>
          <w:bCs/>
          <w:sz w:val="18"/>
          <w:szCs w:val="18"/>
        </w:rPr>
        <w:t>ÍDRICOS</w:t>
      </w:r>
    </w:p>
    <w:p w:rsidR="001D0343" w:rsidRDefault="001D0343">
      <w:pPr>
        <w:autoSpaceDE w:val="0"/>
        <w:jc w:val="center"/>
        <w:rPr>
          <w:rFonts w:ascii="Arial" w:eastAsia="Arial" w:hAnsi="Arial" w:cs="Arial"/>
          <w:sz w:val="20"/>
          <w:szCs w:val="20"/>
        </w:rPr>
      </w:pPr>
    </w:p>
    <w:p w:rsidR="001D0343" w:rsidRDefault="00C767FB">
      <w:pPr>
        <w:autoSpaceDE w:val="0"/>
        <w:jc w:val="center"/>
        <w:rPr>
          <w:rFonts w:cs="Tahoma"/>
          <w:color w:val="FF0000"/>
        </w:rPr>
      </w:pPr>
      <w:r>
        <w:rPr>
          <w:rFonts w:cs="Tahoma"/>
          <w:color w:val="FF0000"/>
        </w:rPr>
        <w:t xml:space="preserve">Dia </w:t>
      </w:r>
      <w:r w:rsidR="008C7233">
        <w:rPr>
          <w:rFonts w:cs="Tahoma"/>
          <w:color w:val="FF0000"/>
        </w:rPr>
        <w:t>25</w:t>
      </w:r>
      <w:r>
        <w:rPr>
          <w:rFonts w:cs="Tahoma"/>
          <w:color w:val="FF0000"/>
        </w:rPr>
        <w:t xml:space="preserve"> de </w:t>
      </w:r>
      <w:r w:rsidR="008C7233">
        <w:rPr>
          <w:rFonts w:cs="Tahoma"/>
          <w:color w:val="FF0000"/>
        </w:rPr>
        <w:t>novembro</w:t>
      </w:r>
      <w:r>
        <w:rPr>
          <w:rFonts w:cs="Tahoma"/>
          <w:color w:val="FF0000"/>
        </w:rPr>
        <w:t xml:space="preserve"> </w:t>
      </w:r>
      <w:proofErr w:type="spellStart"/>
      <w:r>
        <w:rPr>
          <w:rFonts w:cs="Tahoma"/>
          <w:color w:val="FF0000"/>
        </w:rPr>
        <w:t>de</w:t>
      </w:r>
      <w:proofErr w:type="spellEnd"/>
      <w:r>
        <w:rPr>
          <w:rFonts w:cs="Tahoma"/>
          <w:color w:val="FF0000"/>
        </w:rPr>
        <w:t xml:space="preserve"> 2009</w:t>
      </w:r>
    </w:p>
    <w:p w:rsidR="001D0343" w:rsidRDefault="001D0343">
      <w:pPr>
        <w:autoSpaceDE w:val="0"/>
        <w:jc w:val="center"/>
        <w:rPr>
          <w:rFonts w:eastAsia="TimesNewRomanPS-ItalicMT" w:cs="TimesNewRomanPS-ItalicMT"/>
          <w:i/>
          <w:iCs/>
          <w:sz w:val="22"/>
          <w:szCs w:val="22"/>
        </w:rPr>
      </w:pPr>
    </w:p>
    <w:p w:rsidR="001D0343" w:rsidRDefault="00C767FB">
      <w:pPr>
        <w:autoSpaceDE w:val="0"/>
        <w:spacing w:line="200" w:lineRule="atLeast"/>
        <w:jc w:val="right"/>
        <w:rPr>
          <w:rFonts w:eastAsia="TimesNewRomanPSMT"/>
          <w:i/>
        </w:rPr>
      </w:pPr>
      <w:r>
        <w:rPr>
          <w:rFonts w:eastAsia="TimesNewRomanPS-ItalicMT" w:cs="TimesNewRomanPS-ItalicMT"/>
          <w:sz w:val="22"/>
          <w:szCs w:val="22"/>
        </w:rPr>
        <w:t xml:space="preserve"> </w:t>
      </w:r>
      <w:r>
        <w:rPr>
          <w:rFonts w:eastAsia="TimesNewRomanPSMT"/>
          <w:i/>
          <w:color w:val="000000"/>
        </w:rPr>
        <w:t xml:space="preserve">Estabelece diretrizes e critérios </w:t>
      </w:r>
      <w:r w:rsidRPr="00446CA7">
        <w:rPr>
          <w:rFonts w:eastAsia="TimesNewRomanPSMT"/>
          <w:i/>
          <w:strike/>
          <w:color w:val="FF0000"/>
        </w:rPr>
        <w:t>gerais</w:t>
      </w:r>
      <w:r>
        <w:rPr>
          <w:rFonts w:eastAsia="TimesNewRomanPSMT"/>
          <w:i/>
          <w:color w:val="000000"/>
        </w:rPr>
        <w:t xml:space="preserve"> a serem</w:t>
      </w:r>
      <w:r>
        <w:rPr>
          <w:rFonts w:eastAsia="TimesNewRomanPS-ItalicMT" w:cs="TimesNewRomanPS-ItalicMT"/>
          <w:i/>
          <w:color w:val="000000"/>
        </w:rPr>
        <w:t xml:space="preserve"> </w:t>
      </w:r>
      <w:r>
        <w:rPr>
          <w:rFonts w:eastAsia="TimesNewRomanPSMT"/>
          <w:i/>
          <w:color w:val="000000"/>
        </w:rPr>
        <w:t>adotados para planejamento, implantação e operação de rede nacional de monitoramento integrado qualitativo e quantitativo das águas subterrâneas</w:t>
      </w:r>
      <w:r>
        <w:rPr>
          <w:rFonts w:eastAsia="TimesNewRomanPSMT"/>
          <w:i/>
        </w:rPr>
        <w:t>.</w:t>
      </w:r>
    </w:p>
    <w:p w:rsidR="001D0343" w:rsidRDefault="00C767FB">
      <w:pPr>
        <w:autoSpaceDE w:val="0"/>
        <w:spacing w:before="113" w:line="200" w:lineRule="atLeast"/>
        <w:rPr>
          <w:rFonts w:eastAsia="TimesNewRomanPSMT" w:cs="TimesNewRomanPSMT"/>
          <w:color w:val="FF0000"/>
        </w:rPr>
      </w:pPr>
      <w:r>
        <w:rPr>
          <w:rFonts w:eastAsia="TimesNewRomanPSMT" w:cs="TimesNewRomanPSMT"/>
          <w:color w:val="FF0000"/>
        </w:rPr>
        <w:t>SUGESTÕES FERNANDO PONS</w:t>
      </w:r>
    </w:p>
    <w:p w:rsidR="001D0343" w:rsidRDefault="00C767FB">
      <w:pPr>
        <w:autoSpaceDE w:val="0"/>
        <w:spacing w:before="113" w:line="200" w:lineRule="atLeast"/>
        <w:rPr>
          <w:rFonts w:eastAsia="TimesNewRomanPSMT" w:cs="TimesNewRomanPSMT"/>
          <w:color w:val="00B050"/>
        </w:rPr>
      </w:pPr>
      <w:r>
        <w:rPr>
          <w:rFonts w:eastAsia="TimesNewRomanPSMT" w:cs="TimesNewRomanPSMT"/>
          <w:color w:val="00B050"/>
        </w:rPr>
        <w:t>SUGESTÕES MARIA DE LOURDES</w:t>
      </w:r>
    </w:p>
    <w:p w:rsidR="001D0343" w:rsidRDefault="00C767FB">
      <w:pPr>
        <w:autoSpaceDE w:val="0"/>
        <w:spacing w:before="113" w:line="200" w:lineRule="atLeast"/>
        <w:rPr>
          <w:rFonts w:eastAsia="TimesNewRomanPSMT" w:cs="TimesNewRomanPSMT"/>
          <w:color w:val="0070C0"/>
        </w:rPr>
      </w:pPr>
      <w:r>
        <w:rPr>
          <w:rFonts w:eastAsia="TimesNewRomanPSMT" w:cs="TimesNewRomanPSMT"/>
          <w:color w:val="0070C0"/>
        </w:rPr>
        <w:t>SUGESTÕES DOROTHY</w:t>
      </w:r>
    </w:p>
    <w:p w:rsidR="001D0343" w:rsidRDefault="00C767FB">
      <w:pPr>
        <w:autoSpaceDE w:val="0"/>
        <w:spacing w:before="113" w:line="200" w:lineRule="atLeast"/>
        <w:rPr>
          <w:rFonts w:eastAsia="TimesNewRomanPSMT" w:cs="TimesNewRomanPSMT"/>
          <w:color w:val="FFC000"/>
        </w:rPr>
      </w:pPr>
      <w:r>
        <w:rPr>
          <w:rFonts w:eastAsia="TimesNewRomanPSMT" w:cs="TimesNewRomanPSMT"/>
          <w:color w:val="FFC000"/>
        </w:rPr>
        <w:t>SUGESTÕES MARCELO</w:t>
      </w:r>
    </w:p>
    <w:p w:rsidR="001D0343" w:rsidRDefault="00C767FB">
      <w:pPr>
        <w:autoSpaceDE w:val="0"/>
        <w:spacing w:before="113" w:line="200" w:lineRule="atLeast"/>
        <w:rPr>
          <w:rFonts w:eastAsia="TimesNewRomanPSMT" w:cs="TimesNewRomanPSMT"/>
          <w:color w:val="00CCCC"/>
        </w:rPr>
      </w:pPr>
      <w:r>
        <w:rPr>
          <w:rFonts w:eastAsia="TimesNewRomanPSMT" w:cs="TimesNewRomanPSMT"/>
          <w:color w:val="00CCCC"/>
        </w:rPr>
        <w:t>SUGESTÕES ROBERTO MONTEIRO</w:t>
      </w:r>
    </w:p>
    <w:p w:rsidR="001D0343" w:rsidRDefault="00C767FB">
      <w:pPr>
        <w:autoSpaceDE w:val="0"/>
        <w:spacing w:before="113" w:line="200" w:lineRule="atLeast"/>
        <w:rPr>
          <w:rFonts w:eastAsia="TimesNewRomanPSMT" w:cs="TimesNewRomanPSMT"/>
          <w:color w:val="FF9900"/>
        </w:rPr>
      </w:pPr>
      <w:r>
        <w:rPr>
          <w:rFonts w:eastAsia="TimesNewRomanPSMT" w:cs="TimesNewRomanPSMT"/>
          <w:color w:val="FF9900"/>
        </w:rPr>
        <w:t xml:space="preserve">João </w:t>
      </w:r>
      <w:proofErr w:type="spellStart"/>
      <w:r>
        <w:rPr>
          <w:rFonts w:eastAsia="TimesNewRomanPSMT" w:cs="TimesNewRomanPSMT"/>
          <w:color w:val="FF9900"/>
        </w:rPr>
        <w:t>Climaco</w:t>
      </w:r>
      <w:proofErr w:type="spellEnd"/>
    </w:p>
    <w:p w:rsidR="001D0343" w:rsidRDefault="00C767FB">
      <w:pPr>
        <w:autoSpaceDE w:val="0"/>
        <w:spacing w:before="113" w:line="238" w:lineRule="exact"/>
        <w:jc w:val="both"/>
        <w:rPr>
          <w:rFonts w:eastAsia="TimesNewRomanPSMT" w:cs="TimesNewRomanPSMT"/>
        </w:rPr>
      </w:pPr>
      <w:r>
        <w:rPr>
          <w:rFonts w:eastAsia="TimesNewRomanPSMT" w:cs="TimesNewRomanPSMT"/>
        </w:rPr>
        <w:tab/>
      </w:r>
      <w:r>
        <w:rPr>
          <w:rFonts w:eastAsia="TimesNewRomanPSMT" w:cs="TimesNewRomanPSMT"/>
        </w:rPr>
        <w:tab/>
        <w:t xml:space="preserve">O </w:t>
      </w:r>
      <w:r>
        <w:rPr>
          <w:rFonts w:eastAsia="TimesNewRomanPS-BoldMT" w:cs="TimesNewRomanPS-BoldMT"/>
        </w:rPr>
        <w:t>CONSELHO NACIONAL DE RECURSOS HÍDRICOS - CNRH</w:t>
      </w:r>
      <w:r>
        <w:rPr>
          <w:rFonts w:eastAsia="TimesNewRomanPSMT" w:cs="TimesNewRomanPSMT"/>
        </w:rPr>
        <w:t>, no uso das competências que lhe são conferidas pelas Leis nos 9.433, de 8 de janeiro de 1997, e 9.984, de 17 de julho de 2000, e tendo em vista o disposto em seu Regimento Interno, anexo à Portaria no 377, de 19 de setembro de 2003, e</w:t>
      </w:r>
    </w:p>
    <w:p w:rsidR="001D0343" w:rsidRDefault="00C767FB">
      <w:pPr>
        <w:autoSpaceDE w:val="0"/>
        <w:spacing w:before="113" w:line="238" w:lineRule="exact"/>
        <w:jc w:val="both"/>
        <w:rPr>
          <w:rFonts w:eastAsia="Calibri" w:cs="Calibri"/>
        </w:rPr>
      </w:pPr>
      <w:r>
        <w:rPr>
          <w:rFonts w:eastAsia="TimesNewRomanPSMT" w:cs="TimesNewRomanPSMT"/>
        </w:rPr>
        <w:tab/>
      </w:r>
      <w:r>
        <w:rPr>
          <w:rFonts w:eastAsia="TimesNewRomanPSMT" w:cs="TimesNewRomanPSMT"/>
        </w:rPr>
        <w:tab/>
      </w:r>
      <w:r>
        <w:rPr>
          <w:rFonts w:eastAsia="Calibri" w:cs="Calibri"/>
        </w:rPr>
        <w:t>Considerando a Década Brasileira da Água, instituída pelo Decreto de 22 de março de 2005, cujos objetivos são promover e intensificar a formulação e implementação de políticas, programas e projetos relativos ao gerenciamento e uso sustentável da água;</w:t>
      </w:r>
    </w:p>
    <w:p w:rsidR="001D0343" w:rsidRDefault="00C767FB">
      <w:pPr>
        <w:autoSpaceDE w:val="0"/>
        <w:spacing w:before="113" w:line="238" w:lineRule="exact"/>
        <w:jc w:val="both"/>
        <w:rPr>
          <w:rFonts w:eastAsia="Calibri" w:cs="Calibri"/>
          <w:color w:val="000000"/>
        </w:rPr>
      </w:pPr>
      <w:r>
        <w:rPr>
          <w:rFonts w:eastAsia="Calibri" w:cs="Calibri"/>
        </w:rPr>
        <w:tab/>
      </w:r>
      <w:r>
        <w:rPr>
          <w:rFonts w:eastAsia="Calibri" w:cs="Calibri"/>
        </w:rPr>
        <w:tab/>
      </w:r>
      <w:r>
        <w:rPr>
          <w:rFonts w:eastAsia="Calibri" w:cs="Calibri"/>
          <w:color w:val="000000"/>
        </w:rPr>
        <w:t xml:space="preserve">Considerando </w:t>
      </w:r>
      <w:r>
        <w:rPr>
          <w:rFonts w:eastAsia="Calibri"/>
          <w:color w:val="000000"/>
        </w:rPr>
        <w:t xml:space="preserve">a Resolução CNRH nº 15, de 11 de janeiro de 2001, que estabelece as diretrizes gerais para a gestão de águas subterrâneas </w:t>
      </w:r>
      <w:r>
        <w:rPr>
          <w:rFonts w:eastAsia="Calibri" w:cs="Calibri"/>
          <w:color w:val="000000"/>
        </w:rPr>
        <w:t>;</w:t>
      </w:r>
    </w:p>
    <w:p w:rsidR="001D0343" w:rsidRDefault="00C767FB">
      <w:pPr>
        <w:autoSpaceDE w:val="0"/>
        <w:spacing w:before="113" w:line="238" w:lineRule="exact"/>
        <w:jc w:val="both"/>
        <w:rPr>
          <w:rFonts w:eastAsia="Calibri" w:cs="Calibri"/>
          <w:color w:val="000000"/>
        </w:rPr>
      </w:pPr>
      <w:r>
        <w:rPr>
          <w:rFonts w:eastAsia="Calibri" w:cs="Calibri"/>
          <w:color w:val="000000"/>
        </w:rPr>
        <w:tab/>
      </w:r>
      <w:r>
        <w:rPr>
          <w:rFonts w:eastAsia="Calibri" w:cs="Calibri"/>
          <w:color w:val="000000"/>
        </w:rPr>
        <w:tab/>
        <w:t xml:space="preserve">Considerando </w:t>
      </w:r>
      <w:r>
        <w:rPr>
          <w:rFonts w:eastAsia="Calibri"/>
          <w:color w:val="000000"/>
        </w:rPr>
        <w:t xml:space="preserve">a Resolução CNRH nº 22, de 24 de maio de 2002, que estabelece diretrizes para a inserção das águas subterrâneas nos instrumentos Planos de Recursos Hídricos </w:t>
      </w:r>
      <w:r>
        <w:rPr>
          <w:rFonts w:eastAsia="Calibri" w:cs="Calibri"/>
          <w:color w:val="000000"/>
        </w:rPr>
        <w:t>;</w:t>
      </w:r>
    </w:p>
    <w:p w:rsidR="001D0343" w:rsidRDefault="00C767FB">
      <w:pPr>
        <w:autoSpaceDE w:val="0"/>
        <w:spacing w:before="113" w:line="238" w:lineRule="exact"/>
        <w:jc w:val="both"/>
        <w:rPr>
          <w:rFonts w:eastAsia="Calibri" w:cs="Calibri"/>
        </w:rPr>
      </w:pPr>
      <w:r>
        <w:rPr>
          <w:rFonts w:eastAsia="Calibri" w:cs="Calibri"/>
          <w:color w:val="FF0000"/>
        </w:rPr>
        <w:tab/>
      </w:r>
      <w:r>
        <w:rPr>
          <w:rFonts w:eastAsia="Calibri" w:cs="Calibri"/>
          <w:color w:val="FF0000"/>
        </w:rPr>
        <w:tab/>
      </w:r>
      <w:r>
        <w:rPr>
          <w:rFonts w:eastAsia="Calibri" w:cs="Calibri"/>
        </w:rPr>
        <w:t xml:space="preserve">Considerando </w:t>
      </w:r>
      <w:r>
        <w:rPr>
          <w:rFonts w:eastAsia="Calibri"/>
        </w:rPr>
        <w:t>a Resolução CONAMA nº 396, de 03 de abril de 2008, que dispõe sobre a classificação e diretrizes ambientais para o enquadramento das águas subterrâneas</w:t>
      </w:r>
      <w:r>
        <w:rPr>
          <w:rFonts w:eastAsia="Calibri" w:cs="Calibri"/>
        </w:rPr>
        <w:t>; (</w:t>
      </w:r>
      <w:r>
        <w:rPr>
          <w:rFonts w:eastAsia="Calibri" w:cs="Calibri"/>
          <w:color w:val="FF0000"/>
        </w:rPr>
        <w:t>verificar a resolução no que condiz ao monitoramento de águas subterrâneas</w:t>
      </w:r>
      <w:r>
        <w:rPr>
          <w:rFonts w:eastAsia="Calibri" w:cs="Calibri"/>
        </w:rPr>
        <w:t>)</w:t>
      </w:r>
    </w:p>
    <w:p w:rsidR="001D0343" w:rsidRDefault="00C767FB">
      <w:pPr>
        <w:autoSpaceDE w:val="0"/>
        <w:spacing w:before="113" w:line="238" w:lineRule="exact"/>
        <w:jc w:val="both"/>
        <w:rPr>
          <w:rFonts w:eastAsia="Calibri" w:cs="Calibri"/>
          <w:color w:val="000000"/>
        </w:rPr>
      </w:pPr>
      <w:r>
        <w:rPr>
          <w:rFonts w:eastAsia="Calibri" w:cs="Calibri"/>
          <w:color w:val="FF0000"/>
        </w:rPr>
        <w:tab/>
      </w:r>
      <w:r>
        <w:rPr>
          <w:rFonts w:eastAsia="Calibri" w:cs="Calibri"/>
          <w:color w:val="000000"/>
        </w:rPr>
        <w:tab/>
        <w:t xml:space="preserve">Considerando </w:t>
      </w:r>
      <w:r>
        <w:rPr>
          <w:rFonts w:eastAsia="Calibri"/>
          <w:color w:val="000000"/>
        </w:rPr>
        <w:t xml:space="preserve">a Resolução CNRH nº 91, de 5 de novembro de 2008, que dispõe sobre procedimentos gerais para o enquadramento dos corpos de água superficiais e subterrâneos </w:t>
      </w:r>
      <w:r>
        <w:rPr>
          <w:rFonts w:eastAsia="Calibri" w:cs="Calibri"/>
          <w:color w:val="000000"/>
        </w:rPr>
        <w:t>;</w:t>
      </w:r>
    </w:p>
    <w:p w:rsidR="001D0343" w:rsidRDefault="00C767FB">
      <w:pPr>
        <w:autoSpaceDE w:val="0"/>
        <w:spacing w:before="113" w:line="238" w:lineRule="exact"/>
        <w:jc w:val="both"/>
        <w:rPr>
          <w:rFonts w:eastAsia="Calibri" w:cs="Calibri"/>
          <w:color w:val="000000"/>
        </w:rPr>
      </w:pPr>
      <w:r>
        <w:rPr>
          <w:rFonts w:eastAsia="Calibri" w:cs="Calibri"/>
          <w:color w:val="000000"/>
        </w:rPr>
        <w:tab/>
      </w:r>
      <w:r>
        <w:rPr>
          <w:rFonts w:eastAsia="Calibri" w:cs="Calibri"/>
          <w:color w:val="000000"/>
        </w:rPr>
        <w:tab/>
        <w:t xml:space="preserve">Considerando </w:t>
      </w:r>
      <w:r>
        <w:rPr>
          <w:rFonts w:eastAsia="Calibri"/>
          <w:color w:val="000000"/>
        </w:rPr>
        <w:t xml:space="preserve">a Resolução CNRH nº 92, de 5 de novembro de 2008, que estabelece critérios e procedimentos gerais para a proteção e conservação das águas subterrâneas no território brasileiro </w:t>
      </w:r>
      <w:r>
        <w:rPr>
          <w:rFonts w:eastAsia="Calibri" w:cs="Calibri"/>
          <w:color w:val="000000"/>
        </w:rPr>
        <w:t>;</w:t>
      </w:r>
    </w:p>
    <w:p w:rsidR="001D0343" w:rsidRDefault="00C767FB">
      <w:pPr>
        <w:autoSpaceDE w:val="0"/>
        <w:spacing w:before="113" w:line="238" w:lineRule="exact"/>
        <w:jc w:val="both"/>
        <w:rPr>
          <w:rFonts w:ascii="MS Sans Serif" w:hAnsi="MS Sans Serif"/>
          <w:color w:val="000000"/>
        </w:rPr>
      </w:pPr>
      <w:r>
        <w:rPr>
          <w:rFonts w:eastAsia="Calibri" w:cs="Calibri"/>
          <w:color w:val="000000"/>
        </w:rPr>
        <w:tab/>
      </w:r>
      <w:r>
        <w:rPr>
          <w:rFonts w:eastAsia="Calibri" w:cs="Calibri"/>
          <w:color w:val="000000"/>
        </w:rPr>
        <w:tab/>
        <w:t xml:space="preserve">Considerando que a lei 8.970 de 28 de dezembro de 1994. Art.2º no inciso I determina que a Companhia de Pesquisa de Recursos Minerais – CPRM, tem por objeto </w:t>
      </w:r>
      <w:r>
        <w:rPr>
          <w:rFonts w:ascii="MS Sans Serif" w:hAnsi="MS Sans Serif"/>
          <w:color w:val="000000"/>
        </w:rPr>
        <w:t>subsidiar a  formulação da política mineral e geológica participar do planejamento, da coordenação e executar os serviços de geologia e hidrologia de responsabilidade da União em todo o território nacional</w:t>
      </w:r>
    </w:p>
    <w:p w:rsidR="001D0343" w:rsidRDefault="001D0343">
      <w:pPr>
        <w:autoSpaceDE w:val="0"/>
        <w:spacing w:before="113" w:line="238" w:lineRule="exact"/>
        <w:jc w:val="both"/>
        <w:rPr>
          <w:rFonts w:eastAsia="Calibri" w:cs="Calibri"/>
          <w:color w:val="000000"/>
        </w:rPr>
      </w:pPr>
    </w:p>
    <w:p w:rsidR="001D0343" w:rsidRDefault="00C767FB">
      <w:pPr>
        <w:autoSpaceDE w:val="0"/>
        <w:spacing w:before="113" w:line="238" w:lineRule="exact"/>
        <w:jc w:val="both"/>
        <w:rPr>
          <w:rFonts w:eastAsia="Calibri" w:cs="Calibri"/>
          <w:color w:val="000000"/>
        </w:rPr>
      </w:pPr>
      <w:r>
        <w:rPr>
          <w:rFonts w:eastAsia="Calibri" w:cs="Calibri"/>
        </w:rPr>
        <w:tab/>
      </w:r>
      <w:r>
        <w:rPr>
          <w:rFonts w:eastAsia="Calibri" w:cs="Calibri"/>
        </w:rPr>
        <w:tab/>
      </w:r>
      <w:r>
        <w:rPr>
          <w:rFonts w:eastAsia="Calibri" w:cs="Calibri"/>
          <w:color w:val="000000"/>
        </w:rPr>
        <w:t xml:space="preserve">Considerando a necessidade de diretrizes para o planejamento e operação da rede nacional de monitoramento de águas subterrâneas proposta pelo Programa Nacional de Águas Subterrâneas - PNAS integrante do Plano Nacional de Recursos Hídricos – PNRH, conforme Resolução CNRH </w:t>
      </w:r>
      <w:r>
        <w:rPr>
          <w:rFonts w:eastAsia="Calibri"/>
          <w:color w:val="000000"/>
        </w:rPr>
        <w:t xml:space="preserve">nº 99, de 26 de março de 2009 </w:t>
      </w:r>
      <w:r>
        <w:rPr>
          <w:rFonts w:eastAsia="Calibri" w:cs="Calibri"/>
          <w:color w:val="000000"/>
        </w:rPr>
        <w:t>;</w:t>
      </w:r>
    </w:p>
    <w:p w:rsidR="001D0343" w:rsidRDefault="00C767FB">
      <w:pPr>
        <w:autoSpaceDE w:val="0"/>
        <w:spacing w:before="113" w:line="238" w:lineRule="exact"/>
        <w:jc w:val="both"/>
        <w:rPr>
          <w:rFonts w:eastAsia="Calibri" w:cs="Calibri"/>
        </w:rPr>
      </w:pPr>
      <w:r>
        <w:rPr>
          <w:rFonts w:eastAsia="Calibri" w:cs="Calibri"/>
        </w:rPr>
        <w:tab/>
      </w:r>
      <w:r>
        <w:rPr>
          <w:rFonts w:eastAsia="Calibri" w:cs="Calibri"/>
        </w:rPr>
        <w:tab/>
      </w:r>
    </w:p>
    <w:p w:rsidR="001D0343" w:rsidRDefault="00C767FB">
      <w:pPr>
        <w:autoSpaceDE w:val="0"/>
        <w:spacing w:before="113" w:line="238" w:lineRule="exact"/>
        <w:jc w:val="both"/>
        <w:rPr>
          <w:rFonts w:eastAsia="Calibri" w:cs="Calibri"/>
          <w:color w:val="000000"/>
        </w:rPr>
      </w:pPr>
      <w:r>
        <w:rPr>
          <w:rFonts w:eastAsia="Calibri" w:cs="Calibri"/>
          <w:color w:val="000000"/>
        </w:rPr>
        <w:tab/>
      </w:r>
      <w:r>
        <w:rPr>
          <w:rFonts w:eastAsia="Calibri" w:cs="Calibri"/>
          <w:color w:val="000000"/>
        </w:rPr>
        <w:tab/>
        <w:t>Considerando o art. 4º da lei 9.984 de 17 de julho de 2000, que estabelece as atribuições da Agencia Nacional de Águas – ANA;</w:t>
      </w:r>
    </w:p>
    <w:p w:rsidR="001D0343" w:rsidRDefault="00C767FB">
      <w:pPr>
        <w:autoSpaceDE w:val="0"/>
        <w:spacing w:before="113" w:line="238" w:lineRule="exact"/>
        <w:jc w:val="both"/>
        <w:rPr>
          <w:rFonts w:eastAsia="Calibri" w:cs="TimesNewRomanPSMT"/>
          <w:color w:val="000000"/>
        </w:rPr>
      </w:pPr>
      <w:r>
        <w:rPr>
          <w:rFonts w:eastAsia="Calibri" w:cs="TimesNewRomanPSMT"/>
        </w:rPr>
        <w:tab/>
      </w:r>
      <w:r>
        <w:rPr>
          <w:rFonts w:eastAsia="Calibri" w:cs="TimesNewRomanPSMT"/>
        </w:rPr>
        <w:tab/>
      </w:r>
      <w:r>
        <w:rPr>
          <w:rFonts w:eastAsia="Calibri" w:cs="TimesNewRomanPSMT"/>
          <w:color w:val="000000"/>
        </w:rPr>
        <w:t>Considerando que o monitoramento das águas subterrâneas é essencial para estabelecer a referência de sua qualidade, a fim de viabilizar o seu enquadramento em classes;</w:t>
      </w:r>
    </w:p>
    <w:p w:rsidR="001D0343" w:rsidRDefault="00C767FB">
      <w:pPr>
        <w:autoSpaceDE w:val="0"/>
        <w:spacing w:before="113" w:line="238" w:lineRule="exact"/>
        <w:jc w:val="both"/>
        <w:rPr>
          <w:rFonts w:eastAsia="Calibri" w:cs="TimesNewRomanPSMT"/>
        </w:rPr>
      </w:pPr>
      <w:r>
        <w:rPr>
          <w:rFonts w:eastAsia="Calibri" w:cs="TimesNewRomanPSMT"/>
        </w:rPr>
        <w:tab/>
      </w:r>
      <w:r>
        <w:rPr>
          <w:rFonts w:eastAsia="Calibri" w:cs="TimesNewRomanPSMT"/>
        </w:rPr>
        <w:tab/>
        <w:t>Considerando que a prevenção e controle da poluição estão diretamente relacionados aos usos e classes de qualidade de água exigidos para um determinado corpo hídrico subterrâneo.</w:t>
      </w:r>
    </w:p>
    <w:p w:rsidR="001D0343" w:rsidRDefault="00C767FB">
      <w:pPr>
        <w:autoSpaceDE w:val="0"/>
        <w:spacing w:before="113" w:line="238" w:lineRule="exact"/>
        <w:jc w:val="both"/>
        <w:rPr>
          <w:rFonts w:eastAsia="Calibri" w:cs="TimesNewRomanPSMT"/>
          <w:color w:val="000000"/>
        </w:rPr>
      </w:pPr>
      <w:r>
        <w:rPr>
          <w:rFonts w:eastAsia="Calibri" w:cs="TimesNewRomanPSMT"/>
          <w:color w:val="FF0000"/>
        </w:rPr>
        <w:lastRenderedPageBreak/>
        <w:tab/>
      </w:r>
      <w:r>
        <w:rPr>
          <w:rFonts w:eastAsia="Calibri" w:cs="TimesNewRomanPSMT"/>
          <w:color w:val="FF0000"/>
        </w:rPr>
        <w:tab/>
      </w:r>
      <w:r>
        <w:rPr>
          <w:rFonts w:eastAsia="Calibri" w:cs="TimesNewRomanPSMT"/>
          <w:color w:val="000000"/>
        </w:rPr>
        <w:t>Considerando a necessária gestão integrada das águas subterrâneas e superficiais, resolve;</w:t>
      </w:r>
    </w:p>
    <w:p w:rsidR="001D0343" w:rsidRDefault="001D0343">
      <w:pPr>
        <w:autoSpaceDE w:val="0"/>
        <w:spacing w:before="113" w:line="238" w:lineRule="exact"/>
        <w:ind w:left="709" w:firstLine="709"/>
        <w:jc w:val="both"/>
      </w:pPr>
    </w:p>
    <w:p w:rsidR="001D0343" w:rsidRDefault="00C767FB">
      <w:pPr>
        <w:autoSpaceDE w:val="0"/>
        <w:spacing w:before="113" w:line="238" w:lineRule="exact"/>
        <w:ind w:left="709" w:firstLine="709"/>
        <w:jc w:val="both"/>
        <w:rPr>
          <w:rFonts w:eastAsia="TimesNewRomanPSMT"/>
          <w:color w:val="000000"/>
        </w:rPr>
      </w:pPr>
      <w:r>
        <w:rPr>
          <w:rFonts w:eastAsia="TimesNewRomanPSMT"/>
          <w:b/>
          <w:color w:val="000000"/>
        </w:rPr>
        <w:t>Art. 1°</w:t>
      </w:r>
      <w:r>
        <w:rPr>
          <w:rFonts w:eastAsia="TimesNewRomanPSMT"/>
          <w:color w:val="000000"/>
        </w:rPr>
        <w:t xml:space="preserve"> - Estabelecer diretrizes e critérios </w:t>
      </w:r>
      <w:r w:rsidRPr="00446CA7">
        <w:rPr>
          <w:rFonts w:eastAsia="TimesNewRomanPSMT"/>
          <w:strike/>
          <w:color w:val="FF0000"/>
        </w:rPr>
        <w:t>gerais</w:t>
      </w:r>
      <w:r>
        <w:rPr>
          <w:rFonts w:eastAsia="TimesNewRomanPSMT"/>
          <w:color w:val="000000"/>
        </w:rPr>
        <w:t xml:space="preserve"> a serem</w:t>
      </w:r>
      <w:r>
        <w:rPr>
          <w:rFonts w:eastAsia="TimesNewRomanPS-ItalicMT" w:cs="TimesNewRomanPS-ItalicMT"/>
          <w:color w:val="000000"/>
        </w:rPr>
        <w:t xml:space="preserve"> </w:t>
      </w:r>
      <w:r>
        <w:rPr>
          <w:rFonts w:eastAsia="TimesNewRomanPSMT"/>
          <w:color w:val="000000"/>
        </w:rPr>
        <w:t>adotados para planejamento, implantação e operação de rede nacional de monitoramento integrado qualitativo e quantitativo das águas subterrâneas.</w:t>
      </w:r>
    </w:p>
    <w:p w:rsidR="001D0343" w:rsidRDefault="001D0343">
      <w:pPr>
        <w:autoSpaceDE w:val="0"/>
        <w:spacing w:line="360" w:lineRule="auto"/>
        <w:jc w:val="both"/>
        <w:rPr>
          <w:rFonts w:cs="TimesNewRomanPSMT"/>
          <w:color w:val="0070C0"/>
        </w:rPr>
      </w:pPr>
    </w:p>
    <w:p w:rsidR="001D0343" w:rsidRDefault="00C767FB" w:rsidP="003F3683">
      <w:pPr>
        <w:autoSpaceDE w:val="0"/>
        <w:spacing w:line="360" w:lineRule="auto"/>
        <w:ind w:firstLine="709"/>
        <w:jc w:val="both"/>
        <w:rPr>
          <w:rFonts w:ascii="Arial" w:hAnsi="Arial" w:cs="TimesNewRomanPSMT"/>
          <w:color w:val="000000"/>
        </w:rPr>
      </w:pPr>
      <w:r>
        <w:rPr>
          <w:rFonts w:ascii="Arial" w:hAnsi="Arial" w:cs="TimesNewRomanPSMT"/>
          <w:b/>
          <w:color w:val="000000"/>
        </w:rPr>
        <w:t xml:space="preserve">Art. 2º - </w:t>
      </w:r>
      <w:r>
        <w:rPr>
          <w:rFonts w:ascii="Arial" w:hAnsi="Arial" w:cs="TimesNewRomanPSMT"/>
          <w:color w:val="000000"/>
        </w:rPr>
        <w:t>A Rede Nacional de Monitoramento qualitativo e quantitativo das águas subt</w:t>
      </w:r>
      <w:r w:rsidR="00E843D7">
        <w:rPr>
          <w:rFonts w:ascii="Arial" w:hAnsi="Arial" w:cs="TimesNewRomanPSMT"/>
          <w:color w:val="000000"/>
        </w:rPr>
        <w:t>errâneas deverá ser planejada e</w:t>
      </w:r>
      <w:r>
        <w:rPr>
          <w:rFonts w:ascii="Arial" w:hAnsi="Arial" w:cs="TimesNewRomanPSMT"/>
          <w:color w:val="000000"/>
        </w:rPr>
        <w:t xml:space="preserve"> coordenada pela </w:t>
      </w:r>
      <w:r w:rsidR="00924E25">
        <w:rPr>
          <w:rFonts w:ascii="Arial" w:hAnsi="Arial" w:cs="TimesNewRomanPSMT"/>
          <w:color w:val="000000"/>
        </w:rPr>
        <w:t xml:space="preserve"> </w:t>
      </w:r>
      <w:r w:rsidRPr="003F3683">
        <w:rPr>
          <w:rFonts w:ascii="Arial" w:hAnsi="Arial" w:cs="TimesNewRomanPSMT"/>
          <w:strike/>
          <w:color w:val="000000"/>
        </w:rPr>
        <w:t>Agencia Nacional de Águas –</w:t>
      </w:r>
      <w:r>
        <w:rPr>
          <w:rFonts w:ascii="Arial" w:hAnsi="Arial" w:cs="TimesNewRomanPSMT"/>
          <w:color w:val="000000"/>
        </w:rPr>
        <w:t xml:space="preserve"> ANA  e</w:t>
      </w:r>
      <w:r w:rsidR="003F3683">
        <w:rPr>
          <w:rFonts w:ascii="Arial" w:hAnsi="Arial" w:cs="TimesNewRomanPSMT"/>
          <w:color w:val="000000"/>
        </w:rPr>
        <w:t xml:space="preserve"> implantada, operada e mantida </w:t>
      </w:r>
      <w:r>
        <w:rPr>
          <w:rFonts w:ascii="Arial" w:hAnsi="Arial" w:cs="TimesNewRomanPSMT"/>
          <w:color w:val="000000"/>
        </w:rPr>
        <w:t>pela</w:t>
      </w:r>
      <w:r>
        <w:rPr>
          <w:rFonts w:ascii="Arial" w:eastAsia="Calibri" w:hAnsi="Arial" w:cs="TimesNewRomanPSMT"/>
          <w:color w:val="000000"/>
        </w:rPr>
        <w:t xml:space="preserve"> </w:t>
      </w:r>
      <w:r>
        <w:rPr>
          <w:color w:val="000000"/>
        </w:rPr>
        <w:t>CPRM</w:t>
      </w:r>
      <w:r w:rsidR="003F3683" w:rsidRPr="003F3683">
        <w:rPr>
          <w:rFonts w:ascii="Arial" w:hAnsi="Arial" w:cs="TimesNewRomanPSMT"/>
          <w:color w:val="FF0000"/>
        </w:rPr>
        <w:t>, ambas as instituições</w:t>
      </w:r>
      <w:r>
        <w:rPr>
          <w:color w:val="000000"/>
        </w:rPr>
        <w:t xml:space="preserve"> </w:t>
      </w:r>
      <w:r>
        <w:rPr>
          <w:rFonts w:ascii="Arial" w:hAnsi="Arial" w:cs="TimesNewRomanPSMT"/>
          <w:color w:val="000000"/>
        </w:rPr>
        <w:t xml:space="preserve">em articulação com os órgãos Gestores de Recursos Hídricos dos Estados e do Distrito Federal;                                                                                                                                                                                                                                                                                                                                                          </w:t>
      </w:r>
    </w:p>
    <w:p w:rsidR="00CF01F7" w:rsidRDefault="00CF01F7">
      <w:pPr>
        <w:autoSpaceDE w:val="0"/>
        <w:spacing w:line="360" w:lineRule="auto"/>
        <w:jc w:val="both"/>
        <w:rPr>
          <w:rFonts w:ascii="Arial" w:hAnsi="Arial" w:cs="TimesNewRomanPSMT"/>
          <w:color w:val="000000"/>
        </w:rPr>
      </w:pPr>
    </w:p>
    <w:p w:rsidR="001D0343" w:rsidRDefault="00C767FB" w:rsidP="00CF01F7">
      <w:pPr>
        <w:autoSpaceDE w:val="0"/>
        <w:spacing w:line="360" w:lineRule="auto"/>
        <w:ind w:firstLine="708"/>
        <w:jc w:val="both"/>
        <w:rPr>
          <w:rFonts w:ascii="Arial" w:hAnsi="Arial" w:cs="Arial"/>
          <w:color w:val="000000"/>
        </w:rPr>
      </w:pPr>
      <w:proofErr w:type="spellStart"/>
      <w:r>
        <w:rPr>
          <w:rFonts w:ascii="Arial" w:hAnsi="Arial" w:cs="TimesNewRomanPSMT"/>
          <w:color w:val="000000"/>
        </w:rPr>
        <w:t>Paragrafo</w:t>
      </w:r>
      <w:proofErr w:type="spellEnd"/>
      <w:r>
        <w:rPr>
          <w:rFonts w:ascii="Arial" w:hAnsi="Arial" w:cs="TimesNewRomanPSMT"/>
          <w:color w:val="000000"/>
        </w:rPr>
        <w:t xml:space="preserve"> único: As informações qualitativas e quantitativas geradas serão incorporadas ao</w:t>
      </w:r>
      <w:r>
        <w:rPr>
          <w:rFonts w:ascii="Arial" w:hAnsi="Arial" w:cs="Arial"/>
          <w:color w:val="000000"/>
        </w:rPr>
        <w:t xml:space="preserve">  Sistema Nacional de Informações sobre Recursos Hídricos.</w:t>
      </w:r>
    </w:p>
    <w:p w:rsidR="00E843D7" w:rsidRDefault="00E843D7">
      <w:pPr>
        <w:autoSpaceDE w:val="0"/>
        <w:spacing w:line="360" w:lineRule="auto"/>
        <w:jc w:val="both"/>
        <w:rPr>
          <w:rFonts w:ascii="Arial" w:hAnsi="Arial" w:cs="Arial"/>
          <w:color w:val="000000"/>
        </w:rPr>
      </w:pPr>
    </w:p>
    <w:p w:rsidR="001D0343" w:rsidRDefault="001D0343">
      <w:pPr>
        <w:autoSpaceDE w:val="0"/>
        <w:jc w:val="both"/>
        <w:rPr>
          <w:rFonts w:cs="TimesNewRomanPSMT"/>
          <w:color w:val="FF0000"/>
          <w:sz w:val="30"/>
          <w:szCs w:val="30"/>
          <w:shd w:val="clear" w:color="auto" w:fill="FFFF00"/>
        </w:rPr>
      </w:pPr>
    </w:p>
    <w:p w:rsidR="00CF01F7" w:rsidRDefault="00CF01F7">
      <w:pPr>
        <w:autoSpaceDE w:val="0"/>
        <w:jc w:val="both"/>
        <w:rPr>
          <w:rFonts w:cs="TimesNewRomanPSMT"/>
          <w:color w:val="FF0000"/>
          <w:sz w:val="30"/>
          <w:szCs w:val="30"/>
          <w:shd w:val="clear" w:color="auto" w:fill="FFFF00"/>
        </w:rPr>
      </w:pPr>
    </w:p>
    <w:p w:rsidR="001D0343" w:rsidRDefault="00C767FB">
      <w:pPr>
        <w:autoSpaceDE w:val="0"/>
        <w:ind w:firstLine="708"/>
        <w:jc w:val="both"/>
        <w:rPr>
          <w:rFonts w:cs="TimesNewRomanPSMT"/>
        </w:rPr>
      </w:pPr>
      <w:r>
        <w:rPr>
          <w:rFonts w:cs="TimesNewRomanPSMT"/>
        </w:rPr>
        <w:tab/>
      </w:r>
      <w:r>
        <w:rPr>
          <w:rFonts w:cs="TimesNewRomanPSMT"/>
          <w:b/>
        </w:rPr>
        <w:t>Art. 3º</w:t>
      </w:r>
      <w:r>
        <w:rPr>
          <w:rFonts w:cs="TimesNewRomanPSMT"/>
        </w:rPr>
        <w:t xml:space="preserve"> - A escolha dos pontos de monitoramento deverá considerar:</w:t>
      </w:r>
    </w:p>
    <w:p w:rsidR="001D0343" w:rsidRDefault="001D0343">
      <w:pPr>
        <w:autoSpaceDE w:val="0"/>
        <w:ind w:firstLine="708"/>
        <w:jc w:val="both"/>
        <w:rPr>
          <w:rFonts w:cs="TimesNewRomanPSMT"/>
        </w:rPr>
      </w:pPr>
    </w:p>
    <w:p w:rsidR="001D0343" w:rsidRDefault="00C767FB">
      <w:pPr>
        <w:autoSpaceDE w:val="0"/>
        <w:jc w:val="both"/>
        <w:rPr>
          <w:rFonts w:cs="TimesNewRomanPSMT"/>
        </w:rPr>
      </w:pPr>
      <w:r>
        <w:rPr>
          <w:rFonts w:cs="TimesNewRomanPSMT"/>
        </w:rPr>
        <w:t xml:space="preserve"> </w:t>
      </w:r>
      <w:r>
        <w:rPr>
          <w:rFonts w:cs="TimesNewRomanPSMT"/>
        </w:rPr>
        <w:tab/>
        <w:t>I – O uso e a ocupação do solo</w:t>
      </w:r>
    </w:p>
    <w:p w:rsidR="001D0343" w:rsidRDefault="00C767FB">
      <w:pPr>
        <w:autoSpaceDE w:val="0"/>
        <w:jc w:val="both"/>
        <w:rPr>
          <w:rFonts w:cs="TimesNewRomanPSMT"/>
        </w:rPr>
      </w:pPr>
      <w:r>
        <w:rPr>
          <w:rFonts w:cs="TimesNewRomanPSMT"/>
        </w:rPr>
        <w:tab/>
      </w:r>
    </w:p>
    <w:p w:rsidR="001D0343" w:rsidRDefault="00C767FB">
      <w:pPr>
        <w:autoSpaceDE w:val="0"/>
        <w:jc w:val="both"/>
        <w:rPr>
          <w:rFonts w:cs="TimesNewRomanPSMT"/>
        </w:rPr>
      </w:pPr>
      <w:r>
        <w:rPr>
          <w:rFonts w:cs="TimesNewRomanPSMT"/>
        </w:rPr>
        <w:tab/>
        <w:t>II – A demanda pela água subterrânea</w:t>
      </w:r>
    </w:p>
    <w:p w:rsidR="001D0343" w:rsidRDefault="00C767FB">
      <w:pPr>
        <w:numPr>
          <w:ilvl w:val="0"/>
          <w:numId w:val="1"/>
        </w:numPr>
        <w:tabs>
          <w:tab w:val="left" w:pos="3540"/>
        </w:tabs>
        <w:autoSpaceDE w:val="0"/>
        <w:jc w:val="both"/>
        <w:rPr>
          <w:rFonts w:cs="TimesNewRomanPSMT"/>
        </w:rPr>
      </w:pPr>
      <w:r>
        <w:rPr>
          <w:rFonts w:cs="TimesNewRomanPSMT"/>
        </w:rPr>
        <w:t>Densidade de poços</w:t>
      </w:r>
    </w:p>
    <w:p w:rsidR="001D0343" w:rsidRDefault="00C767FB">
      <w:pPr>
        <w:numPr>
          <w:ilvl w:val="0"/>
          <w:numId w:val="1"/>
        </w:numPr>
        <w:tabs>
          <w:tab w:val="left" w:pos="3540"/>
        </w:tabs>
        <w:autoSpaceDE w:val="0"/>
        <w:jc w:val="both"/>
        <w:rPr>
          <w:rFonts w:cs="TimesNewRomanPSMT"/>
        </w:rPr>
      </w:pPr>
      <w:r>
        <w:rPr>
          <w:rFonts w:cs="TimesNewRomanPSMT"/>
        </w:rPr>
        <w:t xml:space="preserve">Volume de </w:t>
      </w:r>
      <w:proofErr w:type="spellStart"/>
      <w:r>
        <w:rPr>
          <w:rFonts w:cs="TimesNewRomanPSMT"/>
        </w:rPr>
        <w:t>explotação</w:t>
      </w:r>
      <w:proofErr w:type="spellEnd"/>
    </w:p>
    <w:p w:rsidR="001D0343" w:rsidRDefault="00C767FB">
      <w:pPr>
        <w:numPr>
          <w:ilvl w:val="0"/>
          <w:numId w:val="1"/>
        </w:numPr>
        <w:tabs>
          <w:tab w:val="left" w:pos="3540"/>
        </w:tabs>
        <w:autoSpaceDE w:val="0"/>
        <w:jc w:val="both"/>
        <w:rPr>
          <w:rFonts w:cs="TimesNewRomanPSMT"/>
        </w:rPr>
      </w:pPr>
      <w:r>
        <w:rPr>
          <w:rFonts w:cs="TimesNewRomanPSMT"/>
        </w:rPr>
        <w:t>Densidade e crescimento populacional</w:t>
      </w:r>
    </w:p>
    <w:p w:rsidR="001D0343" w:rsidRDefault="00C767FB">
      <w:pPr>
        <w:numPr>
          <w:ilvl w:val="0"/>
          <w:numId w:val="1"/>
        </w:numPr>
        <w:autoSpaceDE w:val="0"/>
        <w:jc w:val="both"/>
        <w:rPr>
          <w:rFonts w:cs="TimesNewRomanPSMT"/>
        </w:rPr>
      </w:pPr>
      <w:r>
        <w:rPr>
          <w:rFonts w:cs="TimesNewRomanPSMT"/>
        </w:rPr>
        <w:t>Uso da água para abastecimento público</w:t>
      </w:r>
    </w:p>
    <w:p w:rsidR="001D0343" w:rsidRDefault="00C767FB">
      <w:pPr>
        <w:numPr>
          <w:ilvl w:val="0"/>
          <w:numId w:val="1"/>
        </w:numPr>
        <w:tabs>
          <w:tab w:val="left" w:pos="3540"/>
        </w:tabs>
        <w:autoSpaceDE w:val="0"/>
        <w:jc w:val="both"/>
        <w:rPr>
          <w:rFonts w:cs="TimesNewRomanPSMT"/>
        </w:rPr>
      </w:pPr>
      <w:r>
        <w:rPr>
          <w:rFonts w:cs="TimesNewRomanPSMT"/>
        </w:rPr>
        <w:t>Tipo de atividade econômica</w:t>
      </w:r>
    </w:p>
    <w:p w:rsidR="001D0343" w:rsidRDefault="00C767FB">
      <w:pPr>
        <w:numPr>
          <w:ilvl w:val="0"/>
          <w:numId w:val="1"/>
        </w:numPr>
        <w:autoSpaceDE w:val="0"/>
        <w:jc w:val="both"/>
        <w:rPr>
          <w:rFonts w:cs="TimesNewRomanPSMT"/>
        </w:rPr>
      </w:pPr>
      <w:r>
        <w:rPr>
          <w:rFonts w:cs="TimesNewRomanPSMT"/>
        </w:rPr>
        <w:t>Áreas de conflitos</w:t>
      </w:r>
    </w:p>
    <w:p w:rsidR="001D0343" w:rsidRDefault="001D0343">
      <w:pPr>
        <w:autoSpaceDE w:val="0"/>
        <w:jc w:val="both"/>
        <w:rPr>
          <w:rFonts w:cs="TimesNewRomanPSMT"/>
        </w:rPr>
      </w:pPr>
    </w:p>
    <w:p w:rsidR="001D0343" w:rsidRDefault="00C767FB">
      <w:pPr>
        <w:autoSpaceDE w:val="0"/>
        <w:jc w:val="both"/>
        <w:rPr>
          <w:rFonts w:cs="TimesNewRomanPSMT"/>
        </w:rPr>
      </w:pPr>
      <w:r>
        <w:rPr>
          <w:rFonts w:cs="TimesNewRomanPSMT"/>
        </w:rPr>
        <w:tab/>
        <w:t>III –  Caracterização geológica</w:t>
      </w:r>
    </w:p>
    <w:p w:rsidR="001D0343" w:rsidRDefault="001D0343">
      <w:pPr>
        <w:autoSpaceDE w:val="0"/>
        <w:jc w:val="both"/>
        <w:rPr>
          <w:rFonts w:cs="TimesNewRomanPSMT"/>
        </w:rPr>
      </w:pPr>
    </w:p>
    <w:p w:rsidR="001D0343" w:rsidRDefault="00C767FB">
      <w:pPr>
        <w:autoSpaceDE w:val="0"/>
        <w:ind w:left="708"/>
        <w:jc w:val="both"/>
        <w:rPr>
          <w:rFonts w:cs="TimesNewRomanPSMT"/>
        </w:rPr>
      </w:pPr>
      <w:r>
        <w:rPr>
          <w:rFonts w:cs="TimesNewRomanPSMT"/>
        </w:rPr>
        <w:t xml:space="preserve">IV – Caracterização </w:t>
      </w:r>
      <w:proofErr w:type="spellStart"/>
      <w:r>
        <w:rPr>
          <w:rFonts w:cs="TimesNewRomanPSMT"/>
        </w:rPr>
        <w:t>Hidrogeológica</w:t>
      </w:r>
      <w:proofErr w:type="spellEnd"/>
    </w:p>
    <w:p w:rsidR="001D0343" w:rsidRDefault="00C767FB">
      <w:pPr>
        <w:autoSpaceDE w:val="0"/>
        <w:ind w:left="708"/>
        <w:jc w:val="both"/>
        <w:rPr>
          <w:rFonts w:cs="TimesNewRomanPSMT"/>
        </w:rPr>
      </w:pPr>
      <w:r>
        <w:rPr>
          <w:rFonts w:cs="TimesNewRomanPSMT"/>
        </w:rPr>
        <w:tab/>
        <w:t>a) Hidráulica</w:t>
      </w:r>
    </w:p>
    <w:p w:rsidR="001D0343" w:rsidRDefault="00C767FB">
      <w:pPr>
        <w:autoSpaceDE w:val="0"/>
        <w:ind w:left="708"/>
        <w:jc w:val="both"/>
        <w:rPr>
          <w:rFonts w:cs="TimesNewRomanPSMT"/>
        </w:rPr>
      </w:pPr>
      <w:r>
        <w:rPr>
          <w:rFonts w:cs="TimesNewRomanPSMT"/>
        </w:rPr>
        <w:tab/>
        <w:t>b) Geometria</w:t>
      </w:r>
    </w:p>
    <w:p w:rsidR="001D0343" w:rsidRDefault="00C767FB">
      <w:pPr>
        <w:autoSpaceDE w:val="0"/>
        <w:ind w:left="708"/>
        <w:jc w:val="both"/>
        <w:rPr>
          <w:rFonts w:cs="TimesNewRomanPSMT"/>
        </w:rPr>
      </w:pPr>
      <w:r>
        <w:rPr>
          <w:rFonts w:cs="TimesNewRomanPSMT"/>
        </w:rPr>
        <w:tab/>
        <w:t>c) Tipo de aqüífero</w:t>
      </w:r>
    </w:p>
    <w:p w:rsidR="001D0343" w:rsidRDefault="00C767FB">
      <w:pPr>
        <w:autoSpaceDE w:val="0"/>
        <w:ind w:left="708"/>
        <w:jc w:val="both"/>
        <w:rPr>
          <w:rFonts w:cs="TimesNewRomanPSMT"/>
        </w:rPr>
      </w:pPr>
      <w:r>
        <w:rPr>
          <w:rFonts w:cs="TimesNewRomanPSMT"/>
        </w:rPr>
        <w:tab/>
        <w:t>d) Zonas de recarga/descarga</w:t>
      </w:r>
    </w:p>
    <w:p w:rsidR="001D0343" w:rsidRDefault="00C767FB">
      <w:pPr>
        <w:autoSpaceDE w:val="0"/>
        <w:jc w:val="both"/>
        <w:rPr>
          <w:rFonts w:cs="TimesNewRomanPSMT"/>
        </w:rPr>
      </w:pPr>
      <w:r>
        <w:rPr>
          <w:rFonts w:cs="TimesNewRomanPSMT"/>
        </w:rPr>
        <w:tab/>
        <w:t>e) Interação das águas superficiais e subterrâneas</w:t>
      </w:r>
    </w:p>
    <w:p w:rsidR="001D0343" w:rsidRDefault="00C767FB">
      <w:pPr>
        <w:autoSpaceDE w:val="0"/>
        <w:jc w:val="both"/>
        <w:rPr>
          <w:rFonts w:cs="TimesNewRomanPSMT"/>
        </w:rPr>
      </w:pPr>
      <w:r>
        <w:rPr>
          <w:rFonts w:cs="TimesNewRomanPSMT"/>
        </w:rPr>
        <w:t xml:space="preserve">              </w:t>
      </w:r>
    </w:p>
    <w:p w:rsidR="001D0343" w:rsidRDefault="00C767FB">
      <w:pPr>
        <w:autoSpaceDE w:val="0"/>
        <w:jc w:val="both"/>
        <w:rPr>
          <w:rFonts w:cs="TimesNewRomanPSMT"/>
        </w:rPr>
      </w:pPr>
      <w:r>
        <w:rPr>
          <w:rFonts w:cs="TimesNewRomanPSMT"/>
        </w:rPr>
        <w:t xml:space="preserve">           V - </w:t>
      </w:r>
      <w:proofErr w:type="spellStart"/>
      <w:r>
        <w:rPr>
          <w:rFonts w:cs="TimesNewRomanPSMT"/>
        </w:rPr>
        <w:t>Hidrogeoquímica</w:t>
      </w:r>
      <w:proofErr w:type="spellEnd"/>
    </w:p>
    <w:p w:rsidR="001D0343" w:rsidRDefault="00C767FB">
      <w:pPr>
        <w:numPr>
          <w:ilvl w:val="0"/>
          <w:numId w:val="2"/>
        </w:numPr>
        <w:tabs>
          <w:tab w:val="left" w:pos="3540"/>
        </w:tabs>
        <w:autoSpaceDE w:val="0"/>
        <w:jc w:val="both"/>
        <w:rPr>
          <w:rFonts w:cs="TimesNewRomanPSMT"/>
        </w:rPr>
      </w:pPr>
      <w:r>
        <w:rPr>
          <w:rFonts w:cs="TimesNewRomanPSMT"/>
        </w:rPr>
        <w:t>Características naturais das águas subterrâneas</w:t>
      </w:r>
    </w:p>
    <w:p w:rsidR="001D0343" w:rsidRDefault="00C767FB">
      <w:pPr>
        <w:numPr>
          <w:ilvl w:val="0"/>
          <w:numId w:val="2"/>
        </w:numPr>
        <w:tabs>
          <w:tab w:val="left" w:pos="3540"/>
        </w:tabs>
        <w:autoSpaceDE w:val="0"/>
        <w:jc w:val="both"/>
        <w:rPr>
          <w:rFonts w:cs="TimesNewRomanPSMT"/>
        </w:rPr>
      </w:pPr>
      <w:r>
        <w:rPr>
          <w:rFonts w:cs="TimesNewRomanPSMT"/>
        </w:rPr>
        <w:t xml:space="preserve"> Águas subterrâneas alteradas por ações </w:t>
      </w:r>
      <w:proofErr w:type="spellStart"/>
      <w:r>
        <w:rPr>
          <w:rFonts w:cs="TimesNewRomanPSMT"/>
        </w:rPr>
        <w:t>antrópicas</w:t>
      </w:r>
      <w:proofErr w:type="spellEnd"/>
    </w:p>
    <w:p w:rsidR="001D0343" w:rsidRDefault="001D0343">
      <w:pPr>
        <w:autoSpaceDE w:val="0"/>
        <w:jc w:val="both"/>
        <w:rPr>
          <w:rFonts w:cs="TimesNewRomanPSMT"/>
        </w:rPr>
      </w:pPr>
    </w:p>
    <w:p w:rsidR="001D0343" w:rsidRDefault="00C767FB">
      <w:pPr>
        <w:autoSpaceDE w:val="0"/>
        <w:ind w:left="708"/>
        <w:jc w:val="both"/>
        <w:rPr>
          <w:rFonts w:cs="TimesNewRomanPSMT"/>
        </w:rPr>
      </w:pPr>
      <w:r>
        <w:rPr>
          <w:rFonts w:cs="TimesNewRomanPSMT"/>
        </w:rPr>
        <w:t>VI – Vulnerabilidade natural dos aqüíferos, risco de poluição das águas subterrâneas e áreas contaminadas.</w:t>
      </w:r>
      <w:r>
        <w:rPr>
          <w:rFonts w:cs="TimesNewRomanPSMT"/>
        </w:rPr>
        <w:tab/>
      </w:r>
      <w:r>
        <w:rPr>
          <w:rFonts w:cs="TimesNewRomanPSMT"/>
          <w:color w:val="FF0000"/>
        </w:rPr>
        <w:t xml:space="preserve"> </w:t>
      </w:r>
      <w:r>
        <w:rPr>
          <w:rFonts w:cs="TimesNewRomanPSMT"/>
        </w:rPr>
        <w:tab/>
      </w:r>
    </w:p>
    <w:p w:rsidR="001D0343" w:rsidRDefault="001D0343">
      <w:pPr>
        <w:autoSpaceDE w:val="0"/>
        <w:jc w:val="both"/>
        <w:rPr>
          <w:rFonts w:cs="TimesNewRomanPSMT"/>
        </w:rPr>
      </w:pPr>
    </w:p>
    <w:p w:rsidR="001D0343" w:rsidRDefault="00C767FB">
      <w:pPr>
        <w:autoSpaceDE w:val="0"/>
        <w:ind w:left="708"/>
        <w:jc w:val="both"/>
        <w:rPr>
          <w:rFonts w:cs="TimesNewRomanPSMT"/>
        </w:rPr>
      </w:pPr>
      <w:r>
        <w:rPr>
          <w:rFonts w:cs="TimesNewRomanPSMT"/>
        </w:rPr>
        <w:t>VII – Clima</w:t>
      </w:r>
    </w:p>
    <w:p w:rsidR="001D0343" w:rsidRDefault="00C767FB">
      <w:pPr>
        <w:numPr>
          <w:ilvl w:val="0"/>
          <w:numId w:val="4"/>
        </w:numPr>
        <w:tabs>
          <w:tab w:val="left" w:pos="3546"/>
        </w:tabs>
        <w:autoSpaceDE w:val="0"/>
        <w:jc w:val="both"/>
        <w:rPr>
          <w:rFonts w:cs="TimesNewRomanPSMT"/>
        </w:rPr>
      </w:pPr>
      <w:r>
        <w:rPr>
          <w:rFonts w:cs="TimesNewRomanPSMT"/>
        </w:rPr>
        <w:t>Tipos climáticos</w:t>
      </w:r>
    </w:p>
    <w:p w:rsidR="001D0343" w:rsidRDefault="00C767FB">
      <w:pPr>
        <w:numPr>
          <w:ilvl w:val="0"/>
          <w:numId w:val="4"/>
        </w:numPr>
        <w:tabs>
          <w:tab w:val="left" w:pos="3546"/>
        </w:tabs>
        <w:autoSpaceDE w:val="0"/>
        <w:jc w:val="both"/>
        <w:rPr>
          <w:rFonts w:cs="TimesNewRomanPSMT"/>
        </w:rPr>
      </w:pPr>
      <w:r>
        <w:rPr>
          <w:rFonts w:cs="TimesNewRomanPSMT"/>
        </w:rPr>
        <w:lastRenderedPageBreak/>
        <w:t xml:space="preserve">Área sujeita a eventos </w:t>
      </w:r>
      <w:proofErr w:type="spellStart"/>
      <w:r>
        <w:rPr>
          <w:rFonts w:cs="TimesNewRomanPSMT"/>
        </w:rPr>
        <w:t>hidrometeorológicos</w:t>
      </w:r>
      <w:proofErr w:type="spellEnd"/>
      <w:r>
        <w:rPr>
          <w:rFonts w:cs="TimesNewRomanPSMT"/>
        </w:rPr>
        <w:t xml:space="preserve">  críticos</w:t>
      </w:r>
    </w:p>
    <w:p w:rsidR="001D0343" w:rsidRDefault="001D0343">
      <w:pPr>
        <w:autoSpaceDE w:val="0"/>
        <w:jc w:val="both"/>
        <w:rPr>
          <w:rFonts w:cs="TimesNewRomanPSMT"/>
        </w:rPr>
      </w:pPr>
    </w:p>
    <w:p w:rsidR="001D0343" w:rsidRDefault="00C767FB">
      <w:pPr>
        <w:autoSpaceDE w:val="0"/>
        <w:ind w:left="708"/>
        <w:jc w:val="both"/>
        <w:rPr>
          <w:rFonts w:cs="TimesNewRomanPSMT"/>
        </w:rPr>
      </w:pPr>
      <w:r>
        <w:rPr>
          <w:rFonts w:cs="TimesNewRomanPSMT"/>
        </w:rPr>
        <w:t>VIII – Aqüíferos de importância  estratégica</w:t>
      </w:r>
    </w:p>
    <w:p w:rsidR="001D0343" w:rsidRDefault="001D0343">
      <w:pPr>
        <w:autoSpaceDE w:val="0"/>
        <w:ind w:left="708"/>
        <w:jc w:val="both"/>
        <w:rPr>
          <w:rFonts w:cs="TimesNewRomanPSMT"/>
        </w:rPr>
      </w:pPr>
    </w:p>
    <w:p w:rsidR="001D0343" w:rsidRDefault="00C767FB">
      <w:pPr>
        <w:autoSpaceDE w:val="0"/>
        <w:jc w:val="both"/>
        <w:rPr>
          <w:rFonts w:cs="TimesNewRomanPSMT"/>
        </w:rPr>
      </w:pPr>
      <w:r>
        <w:rPr>
          <w:rFonts w:cs="TimesNewRomanPSMT"/>
        </w:rPr>
        <w:t xml:space="preserve">IX – A </w:t>
      </w:r>
      <w:r w:rsidR="00A949C7">
        <w:rPr>
          <w:rFonts w:cs="TimesNewRomanPSMT"/>
        </w:rPr>
        <w:t>proximidade e possibilidade de i</w:t>
      </w:r>
      <w:r>
        <w:rPr>
          <w:rFonts w:cs="TimesNewRomanPSMT"/>
        </w:rPr>
        <w:t xml:space="preserve">ntegração com estações de monitoramento </w:t>
      </w:r>
      <w:proofErr w:type="spellStart"/>
      <w:r>
        <w:rPr>
          <w:rFonts w:cs="TimesNewRomanPSMT"/>
        </w:rPr>
        <w:t>hidrometeorológicas</w:t>
      </w:r>
      <w:proofErr w:type="spellEnd"/>
      <w:r>
        <w:rPr>
          <w:rFonts w:cs="TimesNewRomanPSMT"/>
        </w:rPr>
        <w:t>.</w:t>
      </w:r>
    </w:p>
    <w:p w:rsidR="001D0343" w:rsidRDefault="00CF01F7">
      <w:pPr>
        <w:autoSpaceDE w:val="0"/>
        <w:jc w:val="both"/>
        <w:rPr>
          <w:rFonts w:cs="TimesNewRomanPSMT"/>
        </w:rPr>
      </w:pPr>
      <w:r>
        <w:rPr>
          <w:rFonts w:cs="TimesNewRomanPSMT"/>
        </w:rPr>
        <w:t xml:space="preserve">   </w:t>
      </w:r>
    </w:p>
    <w:p w:rsidR="00A949C7" w:rsidRPr="006F379A" w:rsidRDefault="00A949C7">
      <w:pPr>
        <w:autoSpaceDE w:val="0"/>
        <w:jc w:val="both"/>
        <w:rPr>
          <w:rFonts w:cs="TimesNewRomanPSMT"/>
          <w:color w:val="FF0000"/>
        </w:rPr>
      </w:pPr>
      <w:r>
        <w:rPr>
          <w:rFonts w:cs="TimesNewRomanPSMT"/>
        </w:rPr>
        <w:tab/>
      </w:r>
      <w:r w:rsidR="004F4036">
        <w:rPr>
          <w:rFonts w:cs="TimesNewRomanPSMT"/>
          <w:color w:val="FF0000"/>
        </w:rPr>
        <w:t xml:space="preserve">Art.4° </w:t>
      </w:r>
      <w:r w:rsidRPr="006F379A">
        <w:rPr>
          <w:rFonts w:cs="TimesNewRomanPSMT"/>
          <w:color w:val="FF0000"/>
        </w:rPr>
        <w:t xml:space="preserve"> –</w:t>
      </w:r>
      <w:r w:rsidR="00A7178F" w:rsidRPr="006F379A">
        <w:rPr>
          <w:rFonts w:cs="TimesNewRomanPSMT"/>
          <w:color w:val="FF0000"/>
        </w:rPr>
        <w:t>A</w:t>
      </w:r>
      <w:r w:rsidRPr="006F379A">
        <w:rPr>
          <w:rFonts w:cs="TimesNewRomanPSMT"/>
          <w:color w:val="FF0000"/>
        </w:rPr>
        <w:t xml:space="preserve"> rede nacio</w:t>
      </w:r>
      <w:r w:rsidR="000B4F4C" w:rsidRPr="006F379A">
        <w:rPr>
          <w:rFonts w:cs="TimesNewRomanPSMT"/>
          <w:color w:val="FF0000"/>
        </w:rPr>
        <w:t>n</w:t>
      </w:r>
      <w:r w:rsidRPr="006F379A">
        <w:rPr>
          <w:rFonts w:cs="TimesNewRomanPSMT"/>
          <w:color w:val="FF0000"/>
        </w:rPr>
        <w:t>al de monitoramento deverá especificar</w:t>
      </w:r>
      <w:r w:rsidR="008219C8" w:rsidRPr="006F379A">
        <w:rPr>
          <w:rFonts w:cs="TimesNewRomanPSMT"/>
          <w:color w:val="FF0000"/>
        </w:rPr>
        <w:t>,</w:t>
      </w:r>
      <w:r w:rsidRPr="006F379A">
        <w:rPr>
          <w:rFonts w:cs="TimesNewRomanPSMT"/>
          <w:color w:val="FF0000"/>
        </w:rPr>
        <w:t xml:space="preserve"> para cada aqüífero:</w:t>
      </w:r>
    </w:p>
    <w:p w:rsidR="00A949C7" w:rsidRPr="006F379A" w:rsidRDefault="00A949C7">
      <w:pPr>
        <w:autoSpaceDE w:val="0"/>
        <w:jc w:val="both"/>
        <w:rPr>
          <w:rFonts w:cs="TimesNewRomanPSMT"/>
          <w:color w:val="FF0000"/>
        </w:rPr>
      </w:pPr>
    </w:p>
    <w:p w:rsidR="00A949C7" w:rsidRPr="006F379A" w:rsidRDefault="00A949C7" w:rsidP="00A949C7">
      <w:pPr>
        <w:pStyle w:val="PargrafodaLista"/>
        <w:numPr>
          <w:ilvl w:val="0"/>
          <w:numId w:val="6"/>
        </w:numPr>
        <w:autoSpaceDE w:val="0"/>
        <w:jc w:val="both"/>
        <w:rPr>
          <w:rFonts w:cs="TimesNewRomanPSMT"/>
          <w:color w:val="FF0000"/>
        </w:rPr>
      </w:pPr>
      <w:r w:rsidRPr="006F379A">
        <w:rPr>
          <w:rFonts w:cs="TimesNewRomanPSMT"/>
          <w:color w:val="FF0000"/>
        </w:rPr>
        <w:t xml:space="preserve">Quantidade e distribuição espacial de poços </w:t>
      </w:r>
      <w:proofErr w:type="spellStart"/>
      <w:r w:rsidR="005F1B59" w:rsidRPr="006F379A">
        <w:rPr>
          <w:rFonts w:cs="TimesNewRomanPSMT"/>
          <w:color w:val="FF0000"/>
        </w:rPr>
        <w:t>georeferenciados</w:t>
      </w:r>
      <w:proofErr w:type="spellEnd"/>
      <w:r w:rsidR="005F1B59" w:rsidRPr="006F379A">
        <w:rPr>
          <w:rFonts w:cs="TimesNewRomanPSMT"/>
          <w:color w:val="FF0000"/>
        </w:rPr>
        <w:t xml:space="preserve"> </w:t>
      </w:r>
      <w:r w:rsidR="008219C8" w:rsidRPr="006F379A">
        <w:rPr>
          <w:rFonts w:cs="TimesNewRomanPSMT"/>
          <w:color w:val="FF0000"/>
        </w:rPr>
        <w:t xml:space="preserve">a serem </w:t>
      </w:r>
      <w:r w:rsidRPr="006F379A">
        <w:rPr>
          <w:rFonts w:cs="TimesNewRomanPSMT"/>
          <w:color w:val="FF0000"/>
        </w:rPr>
        <w:t>construídos</w:t>
      </w:r>
      <w:r w:rsidR="008219C8" w:rsidRPr="006F379A">
        <w:rPr>
          <w:rFonts w:cs="TimesNewRomanPSMT"/>
          <w:color w:val="FF0000"/>
        </w:rPr>
        <w:t xml:space="preserve"> exclusivamente para monitoramento</w:t>
      </w:r>
      <w:r w:rsidRPr="006F379A">
        <w:rPr>
          <w:rFonts w:cs="TimesNewRomanPSMT"/>
          <w:color w:val="FF0000"/>
        </w:rPr>
        <w:t>;</w:t>
      </w:r>
    </w:p>
    <w:p w:rsidR="00A949C7" w:rsidRPr="006F379A" w:rsidRDefault="00A949C7" w:rsidP="00A949C7">
      <w:pPr>
        <w:pStyle w:val="PargrafodaLista"/>
        <w:numPr>
          <w:ilvl w:val="0"/>
          <w:numId w:val="6"/>
        </w:numPr>
        <w:autoSpaceDE w:val="0"/>
        <w:jc w:val="both"/>
        <w:rPr>
          <w:rFonts w:cs="TimesNewRomanPSMT"/>
          <w:color w:val="FF0000"/>
        </w:rPr>
      </w:pPr>
      <w:r w:rsidRPr="006F379A">
        <w:rPr>
          <w:rFonts w:cs="TimesNewRomanPSMT"/>
          <w:color w:val="FF0000"/>
        </w:rPr>
        <w:t xml:space="preserve">A quantidade e distribuição de poços </w:t>
      </w:r>
      <w:proofErr w:type="spellStart"/>
      <w:r w:rsidR="005F1B59" w:rsidRPr="006F379A">
        <w:rPr>
          <w:rFonts w:cs="TimesNewRomanPSMT"/>
          <w:color w:val="FF0000"/>
        </w:rPr>
        <w:t>georeferenciados</w:t>
      </w:r>
      <w:proofErr w:type="spellEnd"/>
      <w:r w:rsidR="005F1B59" w:rsidRPr="006F379A">
        <w:rPr>
          <w:rFonts w:cs="TimesNewRomanPSMT"/>
          <w:color w:val="FF0000"/>
        </w:rPr>
        <w:t xml:space="preserve"> </w:t>
      </w:r>
      <w:r w:rsidRPr="006F379A">
        <w:rPr>
          <w:rFonts w:cs="TimesNewRomanPSMT"/>
          <w:color w:val="FF0000"/>
        </w:rPr>
        <w:t>existentes a serem integrados a rede nacional de monitoramento</w:t>
      </w:r>
    </w:p>
    <w:p w:rsidR="00A949C7" w:rsidRPr="006F379A" w:rsidRDefault="008219C8" w:rsidP="00A949C7">
      <w:pPr>
        <w:pStyle w:val="PargrafodaLista"/>
        <w:numPr>
          <w:ilvl w:val="0"/>
          <w:numId w:val="6"/>
        </w:numPr>
        <w:autoSpaceDE w:val="0"/>
        <w:jc w:val="both"/>
        <w:rPr>
          <w:rFonts w:cs="TimesNewRomanPSMT"/>
          <w:color w:val="FF0000"/>
        </w:rPr>
      </w:pPr>
      <w:r w:rsidRPr="006F379A">
        <w:rPr>
          <w:rFonts w:cs="TimesNewRomanPSMT"/>
          <w:color w:val="FF0000"/>
        </w:rPr>
        <w:t>Os</w:t>
      </w:r>
      <w:r w:rsidR="00A949C7" w:rsidRPr="006F379A">
        <w:rPr>
          <w:rFonts w:cs="TimesNewRomanPSMT"/>
          <w:color w:val="FF0000"/>
        </w:rPr>
        <w:t xml:space="preserve"> parâmetros d</w:t>
      </w:r>
      <w:r w:rsidRPr="006F379A">
        <w:rPr>
          <w:rFonts w:cs="TimesNewRomanPSMT"/>
          <w:color w:val="FF0000"/>
        </w:rPr>
        <w:t>e</w:t>
      </w:r>
      <w:r w:rsidR="00A949C7" w:rsidRPr="006F379A">
        <w:rPr>
          <w:rFonts w:cs="TimesNewRomanPSMT"/>
          <w:color w:val="FF0000"/>
        </w:rPr>
        <w:t xml:space="preserve"> </w:t>
      </w:r>
      <w:r w:rsidRPr="006F379A">
        <w:rPr>
          <w:rFonts w:cs="TimesNewRomanPSMT"/>
          <w:color w:val="FF0000"/>
        </w:rPr>
        <w:t>qualidade de água</w:t>
      </w:r>
      <w:r w:rsidR="005F1B59" w:rsidRPr="006F379A">
        <w:rPr>
          <w:rFonts w:cs="TimesNewRomanPSMT"/>
          <w:color w:val="FF0000"/>
        </w:rPr>
        <w:t xml:space="preserve"> </w:t>
      </w:r>
      <w:r w:rsidRPr="006F379A">
        <w:rPr>
          <w:rFonts w:cs="TimesNewRomanPSMT"/>
          <w:color w:val="FF0000"/>
        </w:rPr>
        <w:t>selecionados a</w:t>
      </w:r>
      <w:r w:rsidR="00467E41">
        <w:rPr>
          <w:rFonts w:cs="TimesNewRomanPSMT"/>
          <w:color w:val="FF0000"/>
        </w:rPr>
        <w:t xml:space="preserve"> partir da resolução </w:t>
      </w:r>
      <w:proofErr w:type="spellStart"/>
      <w:r w:rsidR="00467E41">
        <w:rPr>
          <w:rFonts w:cs="TimesNewRomanPSMT"/>
          <w:color w:val="FF0000"/>
        </w:rPr>
        <w:t>Conama</w:t>
      </w:r>
      <w:proofErr w:type="spellEnd"/>
      <w:r w:rsidR="00467E41">
        <w:rPr>
          <w:rFonts w:cs="TimesNewRomanPSMT"/>
          <w:color w:val="FF0000"/>
        </w:rPr>
        <w:t xml:space="preserve"> 396/</w:t>
      </w:r>
      <w:r w:rsidRPr="006F379A">
        <w:rPr>
          <w:rFonts w:cs="TimesNewRomanPSMT"/>
          <w:color w:val="FF0000"/>
        </w:rPr>
        <w:t>2008</w:t>
      </w:r>
      <w:r w:rsidR="005F1B59" w:rsidRPr="006F379A">
        <w:rPr>
          <w:rFonts w:cs="TimesNewRomanPSMT"/>
          <w:color w:val="FF0000"/>
        </w:rPr>
        <w:t xml:space="preserve"> para os poços previstos nos incisos I e II.</w:t>
      </w:r>
    </w:p>
    <w:p w:rsidR="00A949C7" w:rsidRDefault="00A949C7" w:rsidP="00A949C7">
      <w:pPr>
        <w:pStyle w:val="PargrafodaLista"/>
        <w:numPr>
          <w:ilvl w:val="0"/>
          <w:numId w:val="6"/>
        </w:numPr>
        <w:autoSpaceDE w:val="0"/>
        <w:jc w:val="both"/>
        <w:rPr>
          <w:rFonts w:cs="TimesNewRomanPSMT"/>
          <w:color w:val="FF0000"/>
        </w:rPr>
      </w:pPr>
      <w:r w:rsidRPr="006F379A">
        <w:rPr>
          <w:rFonts w:cs="TimesNewRomanPSMT"/>
          <w:color w:val="FF0000"/>
        </w:rPr>
        <w:t>A</w:t>
      </w:r>
      <w:r w:rsidR="006F379A">
        <w:rPr>
          <w:rFonts w:cs="TimesNewRomanPSMT"/>
          <w:color w:val="FF0000"/>
        </w:rPr>
        <w:t>s</w:t>
      </w:r>
      <w:r w:rsidRPr="006F379A">
        <w:rPr>
          <w:rFonts w:cs="TimesNewRomanPSMT"/>
          <w:color w:val="FF0000"/>
        </w:rPr>
        <w:t xml:space="preserve"> freqüência</w:t>
      </w:r>
      <w:r w:rsidR="006F379A">
        <w:rPr>
          <w:rFonts w:cs="TimesNewRomanPSMT"/>
          <w:color w:val="FF0000"/>
        </w:rPr>
        <w:t>s</w:t>
      </w:r>
      <w:r w:rsidRPr="006F379A">
        <w:rPr>
          <w:rFonts w:cs="TimesNewRomanPSMT"/>
          <w:color w:val="FF0000"/>
        </w:rPr>
        <w:t xml:space="preserve"> de </w:t>
      </w:r>
      <w:r w:rsidR="006F379A">
        <w:rPr>
          <w:rFonts w:cs="TimesNewRomanPSMT"/>
          <w:color w:val="FF0000"/>
        </w:rPr>
        <w:t>obtenção dos dados quantitativos e qualitativos</w:t>
      </w:r>
      <w:r w:rsidRPr="006F379A">
        <w:rPr>
          <w:rFonts w:cs="TimesNewRomanPSMT"/>
          <w:color w:val="FF0000"/>
        </w:rPr>
        <w:t>.</w:t>
      </w:r>
    </w:p>
    <w:p w:rsidR="00674DD1" w:rsidRPr="006F379A" w:rsidRDefault="00674DD1" w:rsidP="00674DD1">
      <w:pPr>
        <w:pStyle w:val="PargrafodaLista"/>
        <w:autoSpaceDE w:val="0"/>
        <w:ind w:left="1425"/>
        <w:jc w:val="both"/>
        <w:rPr>
          <w:rFonts w:cs="TimesNewRomanPSMT"/>
          <w:color w:val="FF0000"/>
        </w:rPr>
      </w:pPr>
    </w:p>
    <w:p w:rsidR="00877970" w:rsidRPr="00A320FE" w:rsidRDefault="00C767FB" w:rsidP="00877970">
      <w:pPr>
        <w:autoSpaceDE w:val="0"/>
        <w:jc w:val="both"/>
        <w:rPr>
          <w:rFonts w:cs="TimesNewRomanPSMT"/>
          <w:color w:val="FF0000"/>
        </w:rPr>
      </w:pPr>
      <w:r>
        <w:rPr>
          <w:rFonts w:cs="TimesNewRomanPSMT"/>
        </w:rPr>
        <w:tab/>
      </w:r>
      <w:proofErr w:type="spellStart"/>
      <w:r w:rsidR="00877970" w:rsidRPr="00A320FE">
        <w:rPr>
          <w:rFonts w:cs="TimesNewRomanPSMT"/>
          <w:color w:val="FF0000"/>
        </w:rPr>
        <w:t>Paragrafo</w:t>
      </w:r>
      <w:proofErr w:type="spellEnd"/>
      <w:r w:rsidR="00877970" w:rsidRPr="00A320FE">
        <w:rPr>
          <w:rFonts w:cs="TimesNewRomanPSMT"/>
          <w:color w:val="FF0000"/>
        </w:rPr>
        <w:t xml:space="preserve"> único – Para integrar a rede nacional de monitoramento </w:t>
      </w:r>
      <w:r w:rsidR="00877970" w:rsidRPr="00A320FE">
        <w:rPr>
          <w:rFonts w:cs="TimesNewRomanPSMT"/>
          <w:strike/>
          <w:color w:val="FF0000"/>
        </w:rPr>
        <w:t>os poços</w:t>
      </w:r>
      <w:r w:rsidR="00877970" w:rsidRPr="00A320FE">
        <w:rPr>
          <w:rFonts w:cs="TimesNewRomanPSMT"/>
          <w:color w:val="FF0000"/>
        </w:rPr>
        <w:t xml:space="preserve"> </w:t>
      </w:r>
      <w:r w:rsidR="00125179" w:rsidRPr="00A320FE">
        <w:rPr>
          <w:rFonts w:cs="TimesNewRomanPSMT"/>
          <w:color w:val="FF0000"/>
        </w:rPr>
        <w:t>são necessár</w:t>
      </w:r>
      <w:r w:rsidR="00A320FE" w:rsidRPr="00A320FE">
        <w:rPr>
          <w:rFonts w:cs="TimesNewRomanPSMT"/>
          <w:color w:val="FF0000"/>
        </w:rPr>
        <w:t>io</w:t>
      </w:r>
      <w:r w:rsidR="00125179" w:rsidRPr="00A320FE">
        <w:rPr>
          <w:rFonts w:cs="TimesNewRomanPSMT"/>
          <w:color w:val="FF0000"/>
        </w:rPr>
        <w:t xml:space="preserve">s </w:t>
      </w:r>
      <w:r w:rsidR="00A320FE" w:rsidRPr="00A320FE">
        <w:rPr>
          <w:rFonts w:cs="TimesNewRomanPSMT"/>
          <w:color w:val="FF0000"/>
        </w:rPr>
        <w:t>poço</w:t>
      </w:r>
      <w:r w:rsidR="00125179" w:rsidRPr="00A320FE">
        <w:rPr>
          <w:rFonts w:cs="TimesNewRomanPSMT"/>
          <w:color w:val="FF0000"/>
        </w:rPr>
        <w:t xml:space="preserve">s </w:t>
      </w:r>
      <w:r w:rsidR="00A320FE" w:rsidRPr="00A320FE">
        <w:rPr>
          <w:rFonts w:cs="TimesNewRomanPSMT"/>
          <w:color w:val="FF0000"/>
        </w:rPr>
        <w:t xml:space="preserve">com </w:t>
      </w:r>
      <w:r w:rsidR="00125179" w:rsidRPr="00A320FE">
        <w:rPr>
          <w:rFonts w:cs="TimesNewRomanPSMT"/>
          <w:color w:val="FF0000"/>
        </w:rPr>
        <w:t xml:space="preserve">informações </w:t>
      </w:r>
      <w:r w:rsidR="00A320FE" w:rsidRPr="00A320FE">
        <w:rPr>
          <w:rFonts w:cs="TimesNewRomanPSMT"/>
          <w:color w:val="FF0000"/>
        </w:rPr>
        <w:t xml:space="preserve">construtivas, e que representem </w:t>
      </w:r>
      <w:r w:rsidR="00A320FE" w:rsidRPr="00A320FE">
        <w:rPr>
          <w:rFonts w:cs="TimesNewRomanPSMT"/>
          <w:strike/>
          <w:color w:val="FF0000"/>
        </w:rPr>
        <w:t>as</w:t>
      </w:r>
      <w:r w:rsidR="00125179" w:rsidRPr="00A320FE">
        <w:rPr>
          <w:rFonts w:cs="TimesNewRomanPSMT"/>
          <w:strike/>
          <w:color w:val="FF0000"/>
        </w:rPr>
        <w:t xml:space="preserve"> quais </w:t>
      </w:r>
      <w:r w:rsidR="00877970" w:rsidRPr="00A320FE">
        <w:rPr>
          <w:rFonts w:cs="TimesNewRomanPSMT"/>
          <w:strike/>
          <w:color w:val="FF0000"/>
        </w:rPr>
        <w:t xml:space="preserve">deverão conter </w:t>
      </w:r>
      <w:r w:rsidR="00125179" w:rsidRPr="00A320FE">
        <w:rPr>
          <w:rFonts w:cs="TimesNewRomanPSMT"/>
          <w:strike/>
          <w:color w:val="FF0000"/>
        </w:rPr>
        <w:t>representar</w:t>
      </w:r>
      <w:r w:rsidR="00125179" w:rsidRPr="00A320FE">
        <w:rPr>
          <w:rFonts w:cs="TimesNewRomanPSMT"/>
          <w:color w:val="FF0000"/>
        </w:rPr>
        <w:t xml:space="preserve"> </w:t>
      </w:r>
      <w:r w:rsidR="00125179" w:rsidRPr="00A320FE">
        <w:rPr>
          <w:rFonts w:cs="TimesNewRomanPSMT"/>
          <w:strike/>
          <w:color w:val="FF0000"/>
        </w:rPr>
        <w:t>informações construtivas</w:t>
      </w:r>
      <w:r w:rsidR="00125179" w:rsidRPr="00A320FE">
        <w:rPr>
          <w:rFonts w:cs="TimesNewRomanPSMT"/>
          <w:color w:val="FF0000"/>
        </w:rPr>
        <w:t xml:space="preserve"> as características </w:t>
      </w:r>
      <w:proofErr w:type="spellStart"/>
      <w:r w:rsidR="00125179" w:rsidRPr="00A320FE">
        <w:rPr>
          <w:rFonts w:cs="TimesNewRomanPSMT"/>
          <w:color w:val="FF0000"/>
        </w:rPr>
        <w:t>hidrogeológicas</w:t>
      </w:r>
      <w:proofErr w:type="spellEnd"/>
      <w:r w:rsidR="00125179" w:rsidRPr="00A320FE">
        <w:rPr>
          <w:rFonts w:cs="TimesNewRomanPSMT"/>
          <w:color w:val="FF0000"/>
        </w:rPr>
        <w:t xml:space="preserve"> e </w:t>
      </w:r>
      <w:proofErr w:type="spellStart"/>
      <w:r w:rsidR="00125179" w:rsidRPr="00A320FE">
        <w:rPr>
          <w:rFonts w:cs="TimesNewRomanPSMT"/>
          <w:color w:val="FF0000"/>
        </w:rPr>
        <w:t>hidrogeoquimicas</w:t>
      </w:r>
      <w:proofErr w:type="spellEnd"/>
      <w:r w:rsidR="00125179" w:rsidRPr="00A320FE">
        <w:rPr>
          <w:rFonts w:cs="TimesNewRomanPSMT"/>
          <w:color w:val="FF0000"/>
        </w:rPr>
        <w:t xml:space="preserve"> de um só aqüífero.</w:t>
      </w:r>
    </w:p>
    <w:p w:rsidR="00125179" w:rsidRDefault="00125179" w:rsidP="00877970">
      <w:pPr>
        <w:autoSpaceDE w:val="0"/>
        <w:jc w:val="both"/>
        <w:rPr>
          <w:rFonts w:cs="TimesNewRomanPSMT"/>
        </w:rPr>
      </w:pPr>
    </w:p>
    <w:p w:rsidR="00877970" w:rsidRPr="00A320FE" w:rsidRDefault="00877970" w:rsidP="00877970">
      <w:pPr>
        <w:autoSpaceDE w:val="0"/>
        <w:jc w:val="both"/>
        <w:rPr>
          <w:rFonts w:cs="TimesNewRomanPSMT"/>
          <w:strike/>
        </w:rPr>
      </w:pPr>
      <w:r w:rsidRPr="00A320FE">
        <w:rPr>
          <w:rFonts w:cs="TimesNewRomanPSMT"/>
          <w:strike/>
        </w:rPr>
        <w:t xml:space="preserve">                  Para cada ponto de monitoramento a ser inserido na rede deverá haver uma caracterização </w:t>
      </w:r>
      <w:proofErr w:type="spellStart"/>
      <w:r w:rsidRPr="00A320FE">
        <w:rPr>
          <w:rFonts w:cs="TimesNewRomanPSMT"/>
          <w:strike/>
        </w:rPr>
        <w:t>hidrogeológica</w:t>
      </w:r>
      <w:proofErr w:type="spellEnd"/>
      <w:r w:rsidRPr="00A320FE">
        <w:rPr>
          <w:rFonts w:cs="TimesNewRomanPSMT"/>
          <w:strike/>
        </w:rPr>
        <w:t xml:space="preserve"> do aqüífero no local e geoquímica da água.</w:t>
      </w:r>
    </w:p>
    <w:p w:rsidR="00877970" w:rsidRPr="00A320FE" w:rsidRDefault="00877970">
      <w:pPr>
        <w:autoSpaceDE w:val="0"/>
        <w:jc w:val="both"/>
        <w:rPr>
          <w:rFonts w:cs="TimesNewRomanPSMT"/>
          <w:strike/>
        </w:rPr>
      </w:pPr>
    </w:p>
    <w:p w:rsidR="00877970" w:rsidRDefault="00877970">
      <w:pPr>
        <w:autoSpaceDE w:val="0"/>
        <w:jc w:val="both"/>
        <w:rPr>
          <w:rFonts w:cs="TimesNewRomanPSMT"/>
        </w:rPr>
      </w:pPr>
    </w:p>
    <w:p w:rsidR="001D0343" w:rsidRPr="00674DD1" w:rsidRDefault="00C767FB">
      <w:pPr>
        <w:autoSpaceDE w:val="0"/>
        <w:jc w:val="both"/>
        <w:rPr>
          <w:rFonts w:cs="TimesNewRomanPSMT"/>
          <w:strike/>
        </w:rPr>
      </w:pPr>
      <w:r w:rsidRPr="00674DD1">
        <w:rPr>
          <w:rFonts w:cs="TimesNewRomanPSMT"/>
          <w:b/>
          <w:strike/>
        </w:rPr>
        <w:t>Art. 4º</w:t>
      </w:r>
      <w:r w:rsidRPr="00674DD1">
        <w:rPr>
          <w:rFonts w:cs="TimesNewRomanPSMT"/>
          <w:strike/>
        </w:rPr>
        <w:t xml:space="preserve"> - Os pontos de monitoramento deverão ser </w:t>
      </w:r>
      <w:proofErr w:type="spellStart"/>
      <w:r w:rsidRPr="00674DD1">
        <w:rPr>
          <w:rFonts w:cs="TimesNewRomanPSMT"/>
          <w:strike/>
        </w:rPr>
        <w:t>georreferenciados</w:t>
      </w:r>
      <w:proofErr w:type="spellEnd"/>
      <w:r w:rsidRPr="00674DD1">
        <w:rPr>
          <w:rFonts w:cs="TimesNewRomanPSMT"/>
          <w:strike/>
        </w:rPr>
        <w:t xml:space="preserve"> e ter determinadas as suas cotas topográficas;</w:t>
      </w:r>
    </w:p>
    <w:p w:rsidR="00A949C7" w:rsidRDefault="00A949C7">
      <w:pPr>
        <w:autoSpaceDE w:val="0"/>
        <w:jc w:val="both"/>
        <w:rPr>
          <w:rFonts w:cs="TimesNewRomanPSMT"/>
        </w:rPr>
      </w:pPr>
    </w:p>
    <w:p w:rsidR="001D0343" w:rsidRDefault="001D0343">
      <w:pPr>
        <w:autoSpaceDE w:val="0"/>
        <w:jc w:val="both"/>
        <w:rPr>
          <w:rFonts w:cs="TimesNewRomanPSMT"/>
        </w:rPr>
      </w:pPr>
    </w:p>
    <w:p w:rsidR="001D0343" w:rsidRPr="004F4036" w:rsidRDefault="00C767FB">
      <w:pPr>
        <w:autoSpaceDE w:val="0"/>
        <w:jc w:val="both"/>
        <w:rPr>
          <w:rFonts w:cs="TimesNewRomanPSMT"/>
          <w:strike/>
        </w:rPr>
      </w:pPr>
      <w:r w:rsidRPr="004F4036">
        <w:rPr>
          <w:rFonts w:cs="TimesNewRomanPSMT"/>
          <w:strike/>
        </w:rPr>
        <w:t>VII – Poços Existentes</w:t>
      </w:r>
    </w:p>
    <w:p w:rsidR="001D0343" w:rsidRPr="004F4036" w:rsidRDefault="00C767FB">
      <w:pPr>
        <w:numPr>
          <w:ilvl w:val="0"/>
          <w:numId w:val="3"/>
        </w:numPr>
        <w:tabs>
          <w:tab w:val="left" w:pos="3540"/>
        </w:tabs>
        <w:autoSpaceDE w:val="0"/>
        <w:jc w:val="both"/>
        <w:rPr>
          <w:rFonts w:cs="TimesNewRomanPSMT"/>
          <w:strike/>
          <w:color w:val="FF0000"/>
        </w:rPr>
      </w:pPr>
      <w:r w:rsidRPr="004F4036">
        <w:rPr>
          <w:rFonts w:cs="TimesNewRomanPSMT"/>
          <w:strike/>
          <w:color w:val="FF0000"/>
        </w:rPr>
        <w:t xml:space="preserve">Que possuam documentação informando das características construtivas e </w:t>
      </w:r>
      <w:proofErr w:type="spellStart"/>
      <w:r w:rsidRPr="004F4036">
        <w:rPr>
          <w:rFonts w:cs="TimesNewRomanPSMT"/>
          <w:strike/>
          <w:color w:val="FF0000"/>
        </w:rPr>
        <w:t>hidrogeológicas</w:t>
      </w:r>
      <w:proofErr w:type="spellEnd"/>
    </w:p>
    <w:p w:rsidR="001D0343" w:rsidRPr="004F4036" w:rsidRDefault="00C767FB">
      <w:pPr>
        <w:numPr>
          <w:ilvl w:val="0"/>
          <w:numId w:val="3"/>
        </w:numPr>
        <w:tabs>
          <w:tab w:val="left" w:pos="3540"/>
        </w:tabs>
        <w:autoSpaceDE w:val="0"/>
        <w:jc w:val="both"/>
        <w:rPr>
          <w:rFonts w:cs="TimesNewRomanPSMT"/>
          <w:strike/>
          <w:color w:val="FF0000"/>
        </w:rPr>
      </w:pPr>
      <w:r w:rsidRPr="004F4036">
        <w:rPr>
          <w:rFonts w:cs="TimesNewRomanPSMT"/>
          <w:strike/>
          <w:color w:val="FF0000"/>
        </w:rPr>
        <w:t>Representativos dos aqüíferos ocorrentes na bacia hidrográfica.</w:t>
      </w:r>
    </w:p>
    <w:p w:rsidR="001D0343" w:rsidRPr="004F4036" w:rsidRDefault="00C767FB">
      <w:pPr>
        <w:numPr>
          <w:ilvl w:val="0"/>
          <w:numId w:val="3"/>
        </w:numPr>
        <w:tabs>
          <w:tab w:val="left" w:pos="3540"/>
        </w:tabs>
        <w:autoSpaceDE w:val="0"/>
        <w:jc w:val="both"/>
        <w:rPr>
          <w:rFonts w:cs="TimesNewRomanPSMT"/>
          <w:strike/>
          <w:color w:val="FF0000"/>
        </w:rPr>
      </w:pPr>
      <w:r w:rsidRPr="004F4036">
        <w:rPr>
          <w:rFonts w:cs="TimesNewRomanPSMT"/>
          <w:strike/>
          <w:color w:val="FF0000"/>
        </w:rPr>
        <w:t>Dotados de controle eletrônico de nível e vazão</w:t>
      </w:r>
    </w:p>
    <w:p w:rsidR="001D0343" w:rsidRPr="004F4036" w:rsidRDefault="00C767FB">
      <w:pPr>
        <w:autoSpaceDE w:val="0"/>
        <w:spacing w:before="113" w:line="238" w:lineRule="exact"/>
        <w:jc w:val="both"/>
        <w:rPr>
          <w:rFonts w:cs="TimesNewRomanPSMT"/>
          <w:strike/>
          <w:color w:val="FF0000"/>
        </w:rPr>
      </w:pPr>
      <w:r w:rsidRPr="004F4036">
        <w:rPr>
          <w:rFonts w:cs="TimesNewRomanPSMT"/>
          <w:strike/>
          <w:color w:val="FF0000"/>
        </w:rPr>
        <w:t>Construídos e montados na observância das NBR 12.212 e 12.244 da ABNT.</w:t>
      </w:r>
    </w:p>
    <w:p w:rsidR="001D0343" w:rsidRDefault="001D0343">
      <w:pPr>
        <w:autoSpaceDE w:val="0"/>
        <w:spacing w:before="113" w:line="238" w:lineRule="exact"/>
        <w:jc w:val="both"/>
        <w:rPr>
          <w:rFonts w:cs="TimesNewRomanPSMT"/>
          <w:color w:val="FF0000"/>
        </w:rPr>
      </w:pPr>
    </w:p>
    <w:p w:rsidR="001D0343" w:rsidRPr="00A320FE" w:rsidRDefault="00C767FB">
      <w:pPr>
        <w:autoSpaceDE w:val="0"/>
        <w:spacing w:before="113" w:line="238" w:lineRule="exact"/>
        <w:jc w:val="both"/>
        <w:rPr>
          <w:rFonts w:cs="TimesNewRomanPSMT"/>
          <w:strike/>
          <w:color w:val="FF0000"/>
        </w:rPr>
      </w:pPr>
      <w:r w:rsidRPr="00A320FE">
        <w:rPr>
          <w:rFonts w:cs="TimesNewRomanPSMT"/>
          <w:strike/>
          <w:color w:val="FF0000"/>
        </w:rPr>
        <w:t xml:space="preserve">             Art.5° </w:t>
      </w:r>
      <w:r w:rsidR="00F86742" w:rsidRPr="00A320FE">
        <w:rPr>
          <w:rFonts w:cs="TimesNewRomanPSMT"/>
          <w:strike/>
          <w:color w:val="FF0000"/>
        </w:rPr>
        <w:t>Cada</w:t>
      </w:r>
      <w:r w:rsidRPr="00A320FE">
        <w:rPr>
          <w:rFonts w:cs="TimesNewRomanPSMT"/>
          <w:strike/>
          <w:color w:val="FF0000"/>
        </w:rPr>
        <w:t xml:space="preserve"> poço tubular selecionado como ponto de monitoramento deve</w:t>
      </w:r>
      <w:r w:rsidR="00F86742" w:rsidRPr="00A320FE">
        <w:rPr>
          <w:rFonts w:cs="TimesNewRomanPSMT"/>
          <w:strike/>
          <w:color w:val="FF0000"/>
        </w:rPr>
        <w:t xml:space="preserve"> :</w:t>
      </w:r>
      <w:r w:rsidRPr="00A320FE">
        <w:rPr>
          <w:rFonts w:cs="TimesNewRomanPSMT"/>
          <w:strike/>
          <w:color w:val="FF0000"/>
        </w:rPr>
        <w:t xml:space="preserve"> </w:t>
      </w:r>
    </w:p>
    <w:p w:rsidR="001D0343" w:rsidRPr="00A320FE" w:rsidRDefault="00C767FB">
      <w:pPr>
        <w:autoSpaceDE w:val="0"/>
        <w:spacing w:before="113" w:line="238" w:lineRule="exact"/>
        <w:jc w:val="both"/>
        <w:rPr>
          <w:rFonts w:cs="TimesNewRomanPSMT"/>
          <w:strike/>
          <w:color w:val="FF0000"/>
        </w:rPr>
      </w:pPr>
      <w:r w:rsidRPr="00A320FE">
        <w:rPr>
          <w:rFonts w:cs="TimesNewRomanPSMT"/>
          <w:strike/>
          <w:color w:val="FF0000"/>
        </w:rPr>
        <w:t xml:space="preserve">                     I – </w:t>
      </w:r>
      <w:r w:rsidR="00F86742" w:rsidRPr="00A320FE">
        <w:rPr>
          <w:rFonts w:cs="TimesNewRomanPSMT"/>
          <w:strike/>
          <w:color w:val="FF0000"/>
        </w:rPr>
        <w:t>Apresentar r</w:t>
      </w:r>
      <w:r w:rsidRPr="00A320FE">
        <w:rPr>
          <w:rFonts w:cs="TimesNewRomanPSMT"/>
          <w:strike/>
          <w:color w:val="FF0000"/>
        </w:rPr>
        <w:t xml:space="preserve">elatório técnico contendo informações das características construtivas, </w:t>
      </w:r>
      <w:proofErr w:type="spellStart"/>
      <w:r w:rsidRPr="00A320FE">
        <w:rPr>
          <w:rFonts w:cs="TimesNewRomanPSMT"/>
          <w:strike/>
          <w:color w:val="FF0000"/>
        </w:rPr>
        <w:t>hi</w:t>
      </w:r>
      <w:r w:rsidR="00F86742" w:rsidRPr="00A320FE">
        <w:rPr>
          <w:rFonts w:cs="TimesNewRomanPSMT"/>
          <w:strike/>
          <w:color w:val="FF0000"/>
        </w:rPr>
        <w:t>drogeologicas</w:t>
      </w:r>
      <w:proofErr w:type="spellEnd"/>
      <w:r w:rsidR="00F86742" w:rsidRPr="00A320FE">
        <w:rPr>
          <w:rFonts w:cs="TimesNewRomanPSMT"/>
          <w:strike/>
          <w:color w:val="FF0000"/>
        </w:rPr>
        <w:t xml:space="preserve"> e análise química.</w:t>
      </w:r>
    </w:p>
    <w:p w:rsidR="00F86742" w:rsidRDefault="00F86742">
      <w:pPr>
        <w:autoSpaceDE w:val="0"/>
        <w:spacing w:before="113" w:line="238" w:lineRule="exact"/>
        <w:jc w:val="both"/>
        <w:rPr>
          <w:rFonts w:cs="TimesNewRomanPSMT"/>
          <w:strike/>
          <w:color w:val="FF0000"/>
        </w:rPr>
      </w:pPr>
      <w:r w:rsidRPr="00A320FE">
        <w:rPr>
          <w:rFonts w:cs="TimesNewRomanPSMT"/>
          <w:strike/>
          <w:color w:val="FF0000"/>
        </w:rPr>
        <w:tab/>
        <w:t xml:space="preserve">II – Representar um só aqüífero </w:t>
      </w:r>
    </w:p>
    <w:p w:rsidR="00244CDF" w:rsidRPr="00A320FE" w:rsidRDefault="00244CDF">
      <w:pPr>
        <w:autoSpaceDE w:val="0"/>
        <w:spacing w:before="113" w:line="238" w:lineRule="exact"/>
        <w:jc w:val="both"/>
        <w:rPr>
          <w:rFonts w:cs="TimesNewRomanPSMT"/>
          <w:strike/>
          <w:color w:val="FF0000"/>
        </w:rPr>
      </w:pPr>
    </w:p>
    <w:p w:rsidR="001D0343" w:rsidRPr="003007A3" w:rsidRDefault="00D0650C">
      <w:pPr>
        <w:autoSpaceDE w:val="0"/>
        <w:jc w:val="both"/>
        <w:rPr>
          <w:rFonts w:cs="TimesNewRomanPSMT"/>
          <w:b/>
          <w:color w:val="7030A0"/>
        </w:rPr>
      </w:pPr>
      <w:r w:rsidRPr="003007A3">
        <w:rPr>
          <w:rFonts w:cs="TimesNewRomanPSMT"/>
          <w:b/>
          <w:color w:val="7030A0"/>
        </w:rPr>
        <w:t>Até aqui 24.11.2009</w:t>
      </w:r>
    </w:p>
    <w:p w:rsidR="00D0650C" w:rsidRDefault="00D0650C">
      <w:pPr>
        <w:autoSpaceDE w:val="0"/>
        <w:jc w:val="both"/>
        <w:rPr>
          <w:rFonts w:cs="TimesNewRomanPSMT"/>
        </w:rPr>
      </w:pPr>
    </w:p>
    <w:p w:rsidR="00244CDF" w:rsidRPr="00664B8A" w:rsidRDefault="00244CDF" w:rsidP="00244CDF">
      <w:pPr>
        <w:autoSpaceDE w:val="0"/>
        <w:jc w:val="both"/>
        <w:rPr>
          <w:rFonts w:cs="TimesNewRomanPSMT"/>
          <w:strike/>
        </w:rPr>
      </w:pPr>
      <w:r>
        <w:rPr>
          <w:rFonts w:cs="TimesNewRomanPSMT"/>
        </w:rPr>
        <w:tab/>
      </w:r>
      <w:r w:rsidRPr="00664B8A">
        <w:rPr>
          <w:rFonts w:cs="TimesNewRomanPSMT"/>
          <w:b/>
          <w:strike/>
        </w:rPr>
        <w:t xml:space="preserve">Art. 5º - </w:t>
      </w:r>
      <w:r w:rsidRPr="00664B8A">
        <w:rPr>
          <w:rFonts w:cs="TimesNewRomanPSMT"/>
          <w:strike/>
        </w:rPr>
        <w:t>Para primeira análise do monitoramento quantitativo deverão ser mensurados o nível estático (NE), nível dinâmico (ND) e a vazão de bombeamento no momento da medição do ND, devendo ser repetidas esses parâmetros anualmente.</w:t>
      </w:r>
    </w:p>
    <w:p w:rsidR="00664B8A" w:rsidRDefault="00B30E3C" w:rsidP="00244CDF">
      <w:pPr>
        <w:autoSpaceDE w:val="0"/>
        <w:jc w:val="both"/>
        <w:rPr>
          <w:rFonts w:cs="TimesNewRomanPSMT"/>
        </w:rPr>
      </w:pPr>
      <w:r>
        <w:rPr>
          <w:rFonts w:cs="TimesNewRomanPSMT"/>
        </w:rPr>
        <w:t xml:space="preserve">         </w:t>
      </w:r>
      <w:r>
        <w:rPr>
          <w:rFonts w:cs="TimesNewRomanPSMT"/>
        </w:rPr>
        <w:tab/>
      </w:r>
    </w:p>
    <w:p w:rsidR="00664B8A" w:rsidRDefault="00664B8A" w:rsidP="00244CDF">
      <w:pPr>
        <w:autoSpaceDE w:val="0"/>
        <w:jc w:val="both"/>
        <w:rPr>
          <w:rFonts w:cs="TimesNewRomanPSMT"/>
        </w:rPr>
      </w:pPr>
    </w:p>
    <w:p w:rsidR="00664B8A" w:rsidRDefault="00664B8A" w:rsidP="00244CDF">
      <w:pPr>
        <w:autoSpaceDE w:val="0"/>
        <w:jc w:val="both"/>
        <w:rPr>
          <w:rFonts w:cs="TimesNewRomanPSMT"/>
        </w:rPr>
      </w:pPr>
    </w:p>
    <w:p w:rsidR="00664B8A" w:rsidRDefault="00664B8A" w:rsidP="00244CDF">
      <w:pPr>
        <w:autoSpaceDE w:val="0"/>
        <w:jc w:val="both"/>
        <w:rPr>
          <w:rFonts w:cs="TimesNewRomanPSMT"/>
        </w:rPr>
      </w:pPr>
    </w:p>
    <w:p w:rsidR="00664B8A" w:rsidRDefault="00664B8A" w:rsidP="00244CDF">
      <w:pPr>
        <w:autoSpaceDE w:val="0"/>
        <w:jc w:val="both"/>
        <w:rPr>
          <w:rFonts w:cs="TimesNewRomanPSMT"/>
        </w:rPr>
      </w:pPr>
    </w:p>
    <w:p w:rsidR="00101FBD" w:rsidRPr="00101FBD" w:rsidRDefault="00B30E3C" w:rsidP="00664B8A">
      <w:pPr>
        <w:autoSpaceDE w:val="0"/>
        <w:ind w:firstLine="709"/>
        <w:jc w:val="both"/>
        <w:rPr>
          <w:rFonts w:cs="TimesNewRomanPSMT"/>
          <w:color w:val="FF0000"/>
        </w:rPr>
      </w:pPr>
      <w:r w:rsidRPr="00664B8A">
        <w:rPr>
          <w:rFonts w:cs="TimesNewRomanPSMT"/>
          <w:b/>
          <w:color w:val="FF0000"/>
        </w:rPr>
        <w:lastRenderedPageBreak/>
        <w:t>Art. 5º -</w:t>
      </w:r>
      <w:r w:rsidR="00101FBD" w:rsidRPr="00101FBD">
        <w:rPr>
          <w:rFonts w:cs="TimesNewRomanPSMT"/>
          <w:color w:val="FF0000"/>
        </w:rPr>
        <w:t>A rede de monitoramento</w:t>
      </w:r>
      <w:r w:rsidR="00B62C74">
        <w:rPr>
          <w:rFonts w:cs="TimesNewRomanPSMT"/>
          <w:color w:val="FF0000"/>
        </w:rPr>
        <w:t xml:space="preserve"> nacional</w:t>
      </w:r>
      <w:r w:rsidR="00101FBD" w:rsidRPr="00101FBD">
        <w:rPr>
          <w:rFonts w:cs="TimesNewRomanPSMT"/>
          <w:color w:val="FF0000"/>
        </w:rPr>
        <w:t xml:space="preserve"> será objeto das seguintes campanhas de obtenção de dados</w:t>
      </w:r>
      <w:r w:rsidR="00101FBD">
        <w:rPr>
          <w:rFonts w:cs="TimesNewRomanPSMT"/>
          <w:color w:val="FF0000"/>
        </w:rPr>
        <w:t>:</w:t>
      </w:r>
    </w:p>
    <w:p w:rsidR="001D0343" w:rsidRPr="00101FBD" w:rsidRDefault="00101FBD" w:rsidP="00101FBD">
      <w:pPr>
        <w:autoSpaceDE w:val="0"/>
        <w:ind w:left="709"/>
        <w:jc w:val="both"/>
        <w:rPr>
          <w:rFonts w:cs="TimesNewRomanPSMT"/>
          <w:strike/>
        </w:rPr>
      </w:pPr>
      <w:r w:rsidRPr="00664B8A">
        <w:rPr>
          <w:rFonts w:cs="TimesNewRomanPSMT"/>
          <w:b/>
          <w:color w:val="FF0000"/>
        </w:rPr>
        <w:t xml:space="preserve">Art. 5º </w:t>
      </w:r>
      <w:r w:rsidRPr="00101FBD">
        <w:rPr>
          <w:rFonts w:cs="TimesNewRomanPSMT"/>
          <w:strike/>
          <w:color w:val="FF0000"/>
        </w:rPr>
        <w:t>O</w:t>
      </w:r>
      <w:r w:rsidR="00467E41" w:rsidRPr="00101FBD">
        <w:rPr>
          <w:rFonts w:cs="TimesNewRomanPSMT"/>
          <w:strike/>
          <w:color w:val="FF0000"/>
        </w:rPr>
        <w:t>s pontos de monitoramento serão submetidos a três tipos de campanhas de determinação de parâmetros qualitativos e quantitativos dos aqüíferos</w:t>
      </w:r>
    </w:p>
    <w:p w:rsidR="001D0343" w:rsidRDefault="001D0343">
      <w:pPr>
        <w:autoSpaceDE w:val="0"/>
        <w:jc w:val="both"/>
        <w:rPr>
          <w:rFonts w:cs="TimesNewRomanPSMT"/>
        </w:rPr>
      </w:pPr>
    </w:p>
    <w:p w:rsidR="001D0343" w:rsidRDefault="006F3EBB">
      <w:pPr>
        <w:autoSpaceDE w:val="0"/>
        <w:jc w:val="both"/>
        <w:rPr>
          <w:rFonts w:cs="TimesNewRomanPSMT"/>
        </w:rPr>
      </w:pPr>
      <w:r>
        <w:rPr>
          <w:rFonts w:cs="TimesNewRomanPSMT"/>
        </w:rPr>
        <w:tab/>
        <w:t xml:space="preserve">I </w:t>
      </w:r>
      <w:r w:rsidR="00C767FB">
        <w:rPr>
          <w:rFonts w:cs="TimesNewRomanPSMT"/>
        </w:rPr>
        <w:t xml:space="preserve">- </w:t>
      </w:r>
      <w:r w:rsidR="00C767FB" w:rsidRPr="00101FBD">
        <w:rPr>
          <w:rFonts w:cs="TimesNewRomanPSMT"/>
          <w:strike/>
        </w:rPr>
        <w:t>Na primeira</w:t>
      </w:r>
      <w:r w:rsidR="00101FBD" w:rsidRPr="00101FBD">
        <w:rPr>
          <w:rFonts w:cs="TimesNewRomanPSMT"/>
        </w:rPr>
        <w:t xml:space="preserve"> </w:t>
      </w:r>
      <w:r w:rsidR="00101FBD">
        <w:rPr>
          <w:rFonts w:cs="TimesNewRomanPSMT"/>
        </w:rPr>
        <w:t xml:space="preserve">Uma </w:t>
      </w:r>
      <w:r w:rsidR="00467E41">
        <w:rPr>
          <w:rFonts w:cs="TimesNewRomanPSMT"/>
        </w:rPr>
        <w:t>campanha</w:t>
      </w:r>
      <w:r w:rsidR="00C767FB">
        <w:rPr>
          <w:rFonts w:cs="TimesNewRomanPSMT"/>
        </w:rPr>
        <w:t xml:space="preserve"> </w:t>
      </w:r>
      <w:r w:rsidR="00101FBD">
        <w:rPr>
          <w:rFonts w:cs="TimesNewRomanPSMT"/>
        </w:rPr>
        <w:t xml:space="preserve">inicial de coleta de água, repetida a </w:t>
      </w:r>
      <w:r w:rsidR="00467E41">
        <w:rPr>
          <w:rFonts w:cs="TimesNewRomanPSMT"/>
        </w:rPr>
        <w:t xml:space="preserve">cada 5 anos </w:t>
      </w:r>
      <w:r w:rsidR="00C767FB" w:rsidRPr="000B7FF1">
        <w:rPr>
          <w:rFonts w:cs="TimesNewRomanPSMT"/>
          <w:strike/>
          <w:color w:val="FF0000"/>
        </w:rPr>
        <w:t xml:space="preserve">para </w:t>
      </w:r>
      <w:r w:rsidR="00C767FB" w:rsidRPr="00664B8A">
        <w:rPr>
          <w:rFonts w:cs="TimesNewRomanPSMT"/>
          <w:strike/>
          <w:color w:val="FF0000"/>
        </w:rPr>
        <w:t>monitoramento da qualidade</w:t>
      </w:r>
      <w:r w:rsidR="00C767FB" w:rsidRPr="00664B8A">
        <w:rPr>
          <w:rFonts w:cs="TimesNewRomanPSMT"/>
          <w:color w:val="FF0000"/>
        </w:rPr>
        <w:t>,</w:t>
      </w:r>
      <w:r w:rsidR="00C767FB">
        <w:rPr>
          <w:rFonts w:cs="TimesNewRomanPSMT"/>
        </w:rPr>
        <w:t xml:space="preserve"> </w:t>
      </w:r>
      <w:r w:rsidR="00C767FB" w:rsidRPr="00101FBD">
        <w:rPr>
          <w:rFonts w:cs="TimesNewRomanPSMT"/>
          <w:strike/>
        </w:rPr>
        <w:t>deverá ser</w:t>
      </w:r>
      <w:r w:rsidR="00C767FB">
        <w:rPr>
          <w:rFonts w:cs="TimesNewRomanPSMT"/>
        </w:rPr>
        <w:t xml:space="preserve"> </w:t>
      </w:r>
      <w:r w:rsidR="00C767FB" w:rsidRPr="00101FBD">
        <w:rPr>
          <w:rFonts w:cs="TimesNewRomanPSMT"/>
          <w:strike/>
        </w:rPr>
        <w:t>realizada</w:t>
      </w:r>
      <w:r w:rsidR="00101FBD">
        <w:rPr>
          <w:rFonts w:cs="TimesNewRomanPSMT"/>
        </w:rPr>
        <w:t xml:space="preserve"> que ana</w:t>
      </w:r>
      <w:r w:rsidR="00C767FB">
        <w:rPr>
          <w:rFonts w:cs="TimesNewRomanPSMT"/>
        </w:rPr>
        <w:t>lis</w:t>
      </w:r>
      <w:r w:rsidR="00101FBD">
        <w:rPr>
          <w:rFonts w:cs="TimesNewRomanPSMT"/>
        </w:rPr>
        <w:t>ará</w:t>
      </w:r>
      <w:r w:rsidR="00C767FB">
        <w:rPr>
          <w:rFonts w:cs="TimesNewRomanPSMT"/>
        </w:rPr>
        <w:t xml:space="preserve"> </w:t>
      </w:r>
      <w:r w:rsidR="00C767FB" w:rsidRPr="00101FBD">
        <w:rPr>
          <w:rFonts w:cs="TimesNewRomanPSMT"/>
          <w:strike/>
        </w:rPr>
        <w:t>dos</w:t>
      </w:r>
      <w:r w:rsidR="00C767FB">
        <w:rPr>
          <w:rFonts w:cs="TimesNewRomanPSMT"/>
        </w:rPr>
        <w:t xml:space="preserve"> parâmetros </w:t>
      </w:r>
      <w:r w:rsidR="00C767FB" w:rsidRPr="00467E41">
        <w:rPr>
          <w:rFonts w:cs="TimesNewRomanPSMT"/>
          <w:strike/>
          <w:color w:val="FF0000"/>
        </w:rPr>
        <w:t>a serem</w:t>
      </w:r>
      <w:r w:rsidR="00C767FB">
        <w:rPr>
          <w:rFonts w:cs="TimesNewRomanPSMT"/>
        </w:rPr>
        <w:t xml:space="preserve"> selecionados </w:t>
      </w:r>
      <w:r w:rsidR="00467E41" w:rsidRPr="00101FBD">
        <w:rPr>
          <w:rFonts w:cs="TimesNewRomanPSMT"/>
          <w:strike/>
        </w:rPr>
        <w:t>a partir</w:t>
      </w:r>
      <w:r w:rsidR="00467E41">
        <w:rPr>
          <w:rFonts w:cs="TimesNewRomanPSMT"/>
        </w:rPr>
        <w:t xml:space="preserve"> da </w:t>
      </w:r>
      <w:r w:rsidR="00C767FB" w:rsidRPr="00664B8A">
        <w:rPr>
          <w:rFonts w:cs="TimesNewRomanPSMT"/>
          <w:strike/>
          <w:color w:val="FF0000"/>
        </w:rPr>
        <w:t>entre os constantes na</w:t>
      </w:r>
      <w:r w:rsidR="00C767FB">
        <w:rPr>
          <w:rFonts w:cs="TimesNewRomanPSMT"/>
        </w:rPr>
        <w:t xml:space="preserve"> resolução CONAMA 396/2008, em função da </w:t>
      </w:r>
      <w:proofErr w:type="spellStart"/>
      <w:r w:rsidR="00C767FB">
        <w:rPr>
          <w:rFonts w:cs="TimesNewRomanPSMT"/>
        </w:rPr>
        <w:t>hidrogeoquímica</w:t>
      </w:r>
      <w:proofErr w:type="spellEnd"/>
      <w:r w:rsidR="00C767FB">
        <w:rPr>
          <w:rFonts w:cs="TimesNewRomanPSMT"/>
        </w:rPr>
        <w:t xml:space="preserve"> natural da água, </w:t>
      </w:r>
      <w:r w:rsidR="00C767FB" w:rsidRPr="004915D4">
        <w:rPr>
          <w:rFonts w:cs="TimesNewRomanPSMT"/>
          <w:color w:val="FF0000"/>
        </w:rPr>
        <w:t>d</w:t>
      </w:r>
      <w:r w:rsidR="004915D4" w:rsidRPr="004915D4">
        <w:rPr>
          <w:rFonts w:cs="TimesNewRomanPSMT"/>
          <w:color w:val="FF0000"/>
        </w:rPr>
        <w:t>o uso e ocupação do solo</w:t>
      </w:r>
      <w:r w:rsidR="00C767FB">
        <w:rPr>
          <w:rFonts w:cs="TimesNewRomanPSMT"/>
        </w:rPr>
        <w:t xml:space="preserve"> </w:t>
      </w:r>
      <w:r w:rsidR="00C767FB" w:rsidRPr="004915D4">
        <w:rPr>
          <w:rFonts w:cs="TimesNewRomanPSMT"/>
          <w:strike/>
          <w:color w:val="FF0000"/>
        </w:rPr>
        <w:t xml:space="preserve">pressões </w:t>
      </w:r>
      <w:proofErr w:type="spellStart"/>
      <w:r w:rsidR="00C767FB" w:rsidRPr="004915D4">
        <w:rPr>
          <w:rFonts w:cs="TimesNewRomanPSMT"/>
          <w:strike/>
          <w:color w:val="FF0000"/>
        </w:rPr>
        <w:t>antrópicas</w:t>
      </w:r>
      <w:proofErr w:type="spellEnd"/>
      <w:r w:rsidR="00C767FB" w:rsidRPr="004915D4">
        <w:rPr>
          <w:rFonts w:cs="TimesNewRomanPSMT"/>
          <w:strike/>
          <w:color w:val="FF0000"/>
        </w:rPr>
        <w:t xml:space="preserve"> existentes</w:t>
      </w:r>
      <w:r w:rsidR="00C767FB">
        <w:rPr>
          <w:rFonts w:cs="TimesNewRomanPSMT"/>
        </w:rPr>
        <w:t xml:space="preserve"> e dos usos preponderantes da água subterrânea;</w:t>
      </w:r>
    </w:p>
    <w:p w:rsidR="00467E41" w:rsidRDefault="00467E41">
      <w:pPr>
        <w:autoSpaceDE w:val="0"/>
        <w:ind w:firstLine="708"/>
        <w:jc w:val="both"/>
        <w:rPr>
          <w:rFonts w:cs="TimesNewRomanPSMT"/>
        </w:rPr>
      </w:pPr>
    </w:p>
    <w:p w:rsidR="00101FBD" w:rsidRPr="006F3EBB" w:rsidRDefault="006F3EBB" w:rsidP="00101FBD">
      <w:pPr>
        <w:autoSpaceDE w:val="0"/>
        <w:ind w:firstLine="708"/>
        <w:jc w:val="both"/>
        <w:rPr>
          <w:rFonts w:cs="TimesNewRomanPSMT"/>
          <w:color w:val="FF0000"/>
        </w:rPr>
      </w:pPr>
      <w:r w:rsidRPr="006F3EBB">
        <w:rPr>
          <w:rFonts w:cs="TimesNewRomanPSMT"/>
          <w:color w:val="FF0000"/>
        </w:rPr>
        <w:t>II</w:t>
      </w:r>
      <w:r w:rsidR="00664B8A" w:rsidRPr="006F3EBB">
        <w:rPr>
          <w:rFonts w:cs="TimesNewRomanPSMT"/>
          <w:color w:val="FF0000"/>
        </w:rPr>
        <w:t xml:space="preserve"> - </w:t>
      </w:r>
      <w:r w:rsidR="00101FBD">
        <w:rPr>
          <w:rFonts w:cs="TimesNewRomanPSMT"/>
          <w:color w:val="FF0000"/>
        </w:rPr>
        <w:t>Uma</w:t>
      </w:r>
      <w:r w:rsidR="00664B8A" w:rsidRPr="006F3EBB">
        <w:rPr>
          <w:rFonts w:cs="TimesNewRomanPSMT"/>
          <w:color w:val="FF0000"/>
        </w:rPr>
        <w:t xml:space="preserve"> </w:t>
      </w:r>
      <w:r w:rsidR="00101FBD">
        <w:rPr>
          <w:rFonts w:cs="TimesNewRomanPSMT"/>
          <w:color w:val="FF0000"/>
        </w:rPr>
        <w:t>c</w:t>
      </w:r>
      <w:r w:rsidR="00664B8A" w:rsidRPr="006F3EBB">
        <w:rPr>
          <w:rFonts w:cs="TimesNewRomanPSMT"/>
          <w:color w:val="FF0000"/>
        </w:rPr>
        <w:t>ampanha semestral abrangendo</w:t>
      </w:r>
      <w:r w:rsidR="00101FBD">
        <w:rPr>
          <w:rFonts w:cs="TimesNewRomanPSMT"/>
          <w:color w:val="FF0000"/>
        </w:rPr>
        <w:t>,</w:t>
      </w:r>
      <w:r w:rsidR="00664B8A" w:rsidRPr="006F3EBB">
        <w:rPr>
          <w:rFonts w:cs="TimesNewRomanPSMT"/>
          <w:color w:val="FF0000"/>
        </w:rPr>
        <w:t xml:space="preserve"> </w:t>
      </w:r>
      <w:r w:rsidR="00101FBD">
        <w:rPr>
          <w:rFonts w:cs="TimesNewRomanPSMT"/>
          <w:color w:val="FF0000"/>
        </w:rPr>
        <w:t xml:space="preserve">pelo menos, os parâmetros </w:t>
      </w:r>
      <w:r w:rsidR="00664B8A" w:rsidRPr="006F3EBB">
        <w:rPr>
          <w:rFonts w:cs="TimesNewRomanPSMT"/>
          <w:color w:val="FF0000"/>
        </w:rPr>
        <w:t xml:space="preserve"> </w:t>
      </w:r>
      <w:r w:rsidR="00101FBD" w:rsidRPr="006F3EBB">
        <w:rPr>
          <w:rFonts w:cs="TimesNewRomanPSMT"/>
          <w:color w:val="FF0000"/>
        </w:rPr>
        <w:t xml:space="preserve">pH, cloretos, nitritos, nitratos, dureza total, alcalinidade total, ferro total, sólidos totais dissolvidos, e coliformes </w:t>
      </w:r>
      <w:proofErr w:type="spellStart"/>
      <w:r w:rsidR="00101FBD" w:rsidRPr="006F3EBB">
        <w:rPr>
          <w:rFonts w:cs="TimesNewRomanPSMT"/>
          <w:color w:val="FF0000"/>
        </w:rPr>
        <w:t>termotolerantes</w:t>
      </w:r>
      <w:proofErr w:type="spellEnd"/>
      <w:r w:rsidR="00101FBD" w:rsidRPr="006F3EBB">
        <w:rPr>
          <w:rFonts w:cs="TimesNewRomanPSMT"/>
          <w:color w:val="FF0000"/>
        </w:rPr>
        <w:t>.</w:t>
      </w:r>
    </w:p>
    <w:p w:rsidR="00664B8A" w:rsidRPr="006F3EBB" w:rsidRDefault="00664B8A">
      <w:pPr>
        <w:autoSpaceDE w:val="0"/>
        <w:ind w:firstLine="708"/>
        <w:jc w:val="both"/>
        <w:rPr>
          <w:rFonts w:cs="TimesNewRomanPSMT"/>
          <w:color w:val="FF0000"/>
        </w:rPr>
      </w:pPr>
    </w:p>
    <w:p w:rsidR="00664B8A" w:rsidRPr="006F3EBB" w:rsidRDefault="00664B8A">
      <w:pPr>
        <w:autoSpaceDE w:val="0"/>
        <w:ind w:firstLine="708"/>
        <w:jc w:val="both"/>
        <w:rPr>
          <w:rFonts w:cs="TimesNewRomanPSMT"/>
          <w:color w:val="FF0000"/>
        </w:rPr>
      </w:pPr>
    </w:p>
    <w:p w:rsidR="006F3EBB" w:rsidRPr="00B62C74" w:rsidRDefault="006F3EBB">
      <w:pPr>
        <w:autoSpaceDE w:val="0"/>
        <w:ind w:firstLine="708"/>
        <w:jc w:val="both"/>
        <w:rPr>
          <w:rFonts w:cs="TimesNewRomanPSMT"/>
          <w:strike/>
          <w:color w:val="FF0000"/>
        </w:rPr>
      </w:pPr>
      <w:r w:rsidRPr="006F3EBB">
        <w:rPr>
          <w:rFonts w:cs="TimesNewRomanPSMT"/>
          <w:color w:val="FF0000"/>
        </w:rPr>
        <w:t>III</w:t>
      </w:r>
      <w:r w:rsidR="00C767FB" w:rsidRPr="006F3EBB">
        <w:rPr>
          <w:rFonts w:cs="TimesNewRomanPSMT"/>
          <w:b/>
          <w:color w:val="FF0000"/>
        </w:rPr>
        <w:t xml:space="preserve"> </w:t>
      </w:r>
      <w:r w:rsidRPr="006F3EBB">
        <w:rPr>
          <w:rFonts w:cs="TimesNewRomanPSMT"/>
          <w:b/>
          <w:color w:val="FF0000"/>
        </w:rPr>
        <w:t>–</w:t>
      </w:r>
      <w:r w:rsidR="00C767FB" w:rsidRPr="006F3EBB">
        <w:rPr>
          <w:rFonts w:cs="TimesNewRomanPSMT"/>
          <w:color w:val="FF0000"/>
        </w:rPr>
        <w:t xml:space="preserve"> </w:t>
      </w:r>
      <w:r w:rsidR="00101FBD">
        <w:rPr>
          <w:rFonts w:cs="TimesNewRomanPSMT"/>
          <w:color w:val="FF0000"/>
        </w:rPr>
        <w:t xml:space="preserve">Uma </w:t>
      </w:r>
      <w:r w:rsidR="00B62C74">
        <w:rPr>
          <w:rFonts w:cs="TimesNewRomanPSMT"/>
          <w:color w:val="FF0000"/>
        </w:rPr>
        <w:t>c</w:t>
      </w:r>
      <w:r w:rsidR="00101FBD">
        <w:rPr>
          <w:rFonts w:cs="TimesNewRomanPSMT"/>
          <w:color w:val="FF0000"/>
        </w:rPr>
        <w:t>a</w:t>
      </w:r>
      <w:r w:rsidRPr="006F3EBB">
        <w:rPr>
          <w:rFonts w:cs="TimesNewRomanPSMT"/>
          <w:color w:val="FF0000"/>
        </w:rPr>
        <w:t xml:space="preserve">mpanha de medição continua </w:t>
      </w:r>
      <w:r w:rsidRPr="006F3EBB">
        <w:rPr>
          <w:rFonts w:cs="TimesNewRomanPSMT"/>
          <w:i/>
          <w:color w:val="FF0000"/>
        </w:rPr>
        <w:t>in loco</w:t>
      </w:r>
      <w:r w:rsidR="006A1725">
        <w:rPr>
          <w:rFonts w:cs="TimesNewRomanPSMT"/>
          <w:i/>
          <w:color w:val="FF0000"/>
        </w:rPr>
        <w:t xml:space="preserve">, </w:t>
      </w:r>
      <w:r w:rsidR="006A1725" w:rsidRPr="006A1725">
        <w:rPr>
          <w:rFonts w:cs="TimesNewRomanPSMT"/>
          <w:color w:val="FF0000"/>
        </w:rPr>
        <w:t>preferencialmente de forma automática</w:t>
      </w:r>
      <w:r w:rsidR="006A1725">
        <w:rPr>
          <w:rFonts w:cs="TimesNewRomanPSMT"/>
          <w:color w:val="FF0000"/>
        </w:rPr>
        <w:t>,</w:t>
      </w:r>
      <w:r w:rsidRPr="006F3EBB">
        <w:rPr>
          <w:rFonts w:cs="TimesNewRomanPSMT"/>
          <w:color w:val="FF0000"/>
        </w:rPr>
        <w:t xml:space="preserve">  para determinação do</w:t>
      </w:r>
      <w:r w:rsidR="00B62C74" w:rsidRPr="00B62C74">
        <w:rPr>
          <w:rFonts w:cs="TimesNewRomanPSMT"/>
          <w:color w:val="FF0000"/>
        </w:rPr>
        <w:t xml:space="preserve"> </w:t>
      </w:r>
      <w:r w:rsidR="00B62C74" w:rsidRPr="006F3EBB">
        <w:rPr>
          <w:rFonts w:cs="TimesNewRomanPSMT"/>
          <w:color w:val="FF0000"/>
        </w:rPr>
        <w:t>nível estático (NE), temperatura e condutividade elétrica</w:t>
      </w:r>
      <w:r w:rsidRPr="006F3EBB">
        <w:rPr>
          <w:rFonts w:cs="TimesNewRomanPSMT"/>
          <w:color w:val="FF0000"/>
        </w:rPr>
        <w:t xml:space="preserve"> </w:t>
      </w:r>
      <w:r w:rsidRPr="00B62C74">
        <w:rPr>
          <w:rFonts w:cs="TimesNewRomanPSMT"/>
          <w:strike/>
          <w:color w:val="FF0000"/>
        </w:rPr>
        <w:t>seguintes parâmetros:</w:t>
      </w:r>
    </w:p>
    <w:p w:rsidR="006A1725" w:rsidRDefault="006A1725">
      <w:pPr>
        <w:autoSpaceDE w:val="0"/>
        <w:ind w:firstLine="708"/>
        <w:jc w:val="both"/>
        <w:rPr>
          <w:rFonts w:cs="TimesNewRomanPSMT"/>
          <w:color w:val="FF0000"/>
        </w:rPr>
      </w:pPr>
    </w:p>
    <w:p w:rsidR="006A1725" w:rsidRPr="006A1725" w:rsidRDefault="006A1725">
      <w:pPr>
        <w:autoSpaceDE w:val="0"/>
        <w:ind w:firstLine="708"/>
        <w:jc w:val="both"/>
        <w:rPr>
          <w:rFonts w:cs="TimesNewRomanPSMT"/>
          <w:color w:val="FF0000"/>
        </w:rPr>
      </w:pPr>
      <w:r>
        <w:rPr>
          <w:rFonts w:cs="TimesNewRomanPSMT"/>
          <w:color w:val="FF0000"/>
        </w:rPr>
        <w:t>§ 1</w:t>
      </w:r>
      <w:r w:rsidRPr="006A1725">
        <w:rPr>
          <w:rFonts w:cs="TimesNewRomanPSMT"/>
          <w:color w:val="FF0000"/>
        </w:rPr>
        <w:t xml:space="preserve">º </w:t>
      </w:r>
      <w:r>
        <w:rPr>
          <w:rFonts w:cs="TimesNewRomanPSMT"/>
          <w:color w:val="FF0000"/>
        </w:rPr>
        <w:t xml:space="preserve"> - </w:t>
      </w:r>
      <w:r>
        <w:rPr>
          <w:rFonts w:cs="TimesNewRomanPSMT"/>
        </w:rPr>
        <w:t xml:space="preserve">As coletas </w:t>
      </w:r>
      <w:r w:rsidRPr="006A1725">
        <w:rPr>
          <w:rFonts w:cs="TimesNewRomanPSMT"/>
          <w:strike/>
          <w:color w:val="FF0000"/>
        </w:rPr>
        <w:t>e análises</w:t>
      </w:r>
      <w:r>
        <w:rPr>
          <w:rFonts w:cs="TimesNewRomanPSMT"/>
        </w:rPr>
        <w:t xml:space="preserve"> deverão ser realizadas de acordo com critérios e procedimentos </w:t>
      </w:r>
      <w:r w:rsidR="00ED4B72" w:rsidRPr="00ED4B72">
        <w:rPr>
          <w:rFonts w:cs="TimesNewRomanPSMT"/>
          <w:color w:val="FF0000"/>
        </w:rPr>
        <w:t>normatizados</w:t>
      </w:r>
      <w:r w:rsidR="00ED4B72">
        <w:rPr>
          <w:rFonts w:cs="TimesNewRomanPSMT"/>
        </w:rPr>
        <w:t xml:space="preserve">, </w:t>
      </w:r>
      <w:r w:rsidRPr="00ED4B72">
        <w:rPr>
          <w:rFonts w:cs="TimesNewRomanPSMT"/>
          <w:strike/>
          <w:color w:val="FF0000"/>
        </w:rPr>
        <w:t>de controle de qualidade</w:t>
      </w:r>
      <w:r>
        <w:rPr>
          <w:rFonts w:cs="TimesNewRomanPSMT"/>
        </w:rPr>
        <w:t xml:space="preserve"> </w:t>
      </w:r>
      <w:r w:rsidRPr="006A1725">
        <w:rPr>
          <w:rFonts w:cs="TimesNewRomanPSMT"/>
          <w:color w:val="FF0000"/>
        </w:rPr>
        <w:t xml:space="preserve">e as analises </w:t>
      </w:r>
      <w:r>
        <w:rPr>
          <w:rFonts w:cs="TimesNewRomanPSMT"/>
          <w:color w:val="FF0000"/>
        </w:rPr>
        <w:t>realizadas por</w:t>
      </w:r>
      <w:r w:rsidRPr="006A1725">
        <w:rPr>
          <w:rFonts w:cs="TimesNewRomanPSMT"/>
          <w:color w:val="FF0000"/>
        </w:rPr>
        <w:t xml:space="preserve"> laboratório</w:t>
      </w:r>
      <w:r>
        <w:rPr>
          <w:rFonts w:cs="TimesNewRomanPSMT"/>
          <w:color w:val="FF0000"/>
        </w:rPr>
        <w:t>s</w:t>
      </w:r>
      <w:r w:rsidRPr="006A1725">
        <w:rPr>
          <w:rFonts w:cs="TimesNewRomanPSMT"/>
          <w:color w:val="FF0000"/>
        </w:rPr>
        <w:t xml:space="preserve"> credenciados.</w:t>
      </w:r>
    </w:p>
    <w:p w:rsidR="006F3EBB" w:rsidRDefault="006F3EBB">
      <w:pPr>
        <w:autoSpaceDE w:val="0"/>
        <w:ind w:firstLine="708"/>
        <w:jc w:val="both"/>
        <w:rPr>
          <w:rFonts w:cs="TimesNewRomanPSMT"/>
        </w:rPr>
      </w:pPr>
    </w:p>
    <w:p w:rsidR="001D0343" w:rsidRPr="00854F02" w:rsidRDefault="006A1725">
      <w:pPr>
        <w:autoSpaceDE w:val="0"/>
        <w:ind w:firstLine="708"/>
        <w:jc w:val="both"/>
        <w:rPr>
          <w:rFonts w:cs="TimesNewRomanPSMT"/>
          <w:strike/>
        </w:rPr>
      </w:pPr>
      <w:r>
        <w:rPr>
          <w:rFonts w:cs="TimesNewRomanPSMT"/>
          <w:color w:val="FF0000"/>
        </w:rPr>
        <w:t>§ 2</w:t>
      </w:r>
      <w:r w:rsidRPr="006A1725">
        <w:rPr>
          <w:rFonts w:cs="TimesNewRomanPSMT"/>
          <w:color w:val="FF0000"/>
        </w:rPr>
        <w:t xml:space="preserve">º </w:t>
      </w:r>
      <w:r w:rsidR="006F3EBB" w:rsidRPr="006A1725">
        <w:rPr>
          <w:rFonts w:cs="TimesNewRomanPSMT"/>
          <w:color w:val="FF0000"/>
        </w:rPr>
        <w:t>-</w:t>
      </w:r>
      <w:r w:rsidR="006F3EBB">
        <w:rPr>
          <w:rFonts w:cs="TimesNewRomanPSMT"/>
        </w:rPr>
        <w:t xml:space="preserve">  </w:t>
      </w:r>
      <w:r w:rsidR="00C767FB">
        <w:rPr>
          <w:rFonts w:cs="TimesNewRomanPSMT"/>
        </w:rPr>
        <w:t xml:space="preserve">Nos casos </w:t>
      </w:r>
      <w:r w:rsidR="00C767FB" w:rsidRPr="00ED4B72">
        <w:rPr>
          <w:rFonts w:cs="TimesNewRomanPSMT"/>
          <w:strike/>
          <w:color w:val="FF0000"/>
        </w:rPr>
        <w:t>de verificação</w:t>
      </w:r>
      <w:r w:rsidR="00C767FB">
        <w:rPr>
          <w:rFonts w:cs="TimesNewRomanPSMT"/>
        </w:rPr>
        <w:t xml:space="preserve"> de </w:t>
      </w:r>
      <w:r w:rsidR="00854F02" w:rsidRPr="00854F02">
        <w:rPr>
          <w:rFonts w:cs="TimesNewRomanPSMT"/>
          <w:color w:val="FF0000"/>
        </w:rPr>
        <w:t>desconformidades</w:t>
      </w:r>
      <w:r w:rsidR="00854F02">
        <w:rPr>
          <w:rFonts w:cs="TimesNewRomanPSMT"/>
        </w:rPr>
        <w:t xml:space="preserve"> </w:t>
      </w:r>
      <w:r w:rsidR="00C767FB" w:rsidRPr="00854F02">
        <w:rPr>
          <w:rFonts w:cs="TimesNewRomanPSMT"/>
          <w:strike/>
        </w:rPr>
        <w:t>anomalias</w:t>
      </w:r>
      <w:r w:rsidR="00C767FB">
        <w:rPr>
          <w:rFonts w:cs="TimesNewRomanPSMT"/>
        </w:rPr>
        <w:t xml:space="preserve"> nos parâmetros</w:t>
      </w:r>
      <w:r w:rsidR="00ED4B72">
        <w:rPr>
          <w:rFonts w:cs="TimesNewRomanPSMT"/>
        </w:rPr>
        <w:t xml:space="preserve"> </w:t>
      </w:r>
      <w:r w:rsidR="00ED4B72" w:rsidRPr="00ED4B72">
        <w:rPr>
          <w:rFonts w:cs="TimesNewRomanPSMT"/>
          <w:strike/>
          <w:color w:val="FF0000"/>
        </w:rPr>
        <w:t>indicadores</w:t>
      </w:r>
      <w:r w:rsidR="00ED4B72">
        <w:rPr>
          <w:rFonts w:cs="TimesNewRomanPSMT"/>
        </w:rPr>
        <w:t xml:space="preserve"> </w:t>
      </w:r>
      <w:r w:rsidR="00C767FB">
        <w:rPr>
          <w:rFonts w:cs="TimesNewRomanPSMT"/>
        </w:rPr>
        <w:t xml:space="preserve"> </w:t>
      </w:r>
      <w:r w:rsidR="00C767FB" w:rsidRPr="00ED4B72">
        <w:rPr>
          <w:rFonts w:cs="TimesNewRomanPSMT"/>
          <w:color w:val="FF0000"/>
        </w:rPr>
        <w:t>indicados</w:t>
      </w:r>
      <w:r w:rsidR="00C767FB">
        <w:rPr>
          <w:rFonts w:cs="TimesNewRomanPSMT"/>
        </w:rPr>
        <w:t xml:space="preserve">, análises mais específicas e freqüentes deverão ser realizadas para identificação do problema e tomada de </w:t>
      </w:r>
      <w:r w:rsidR="00C767FB" w:rsidRPr="00854F02">
        <w:rPr>
          <w:rFonts w:cs="TimesNewRomanPSMT"/>
          <w:strike/>
          <w:color w:val="FF0000"/>
        </w:rPr>
        <w:t>eventuais</w:t>
      </w:r>
      <w:r w:rsidR="00C767FB">
        <w:rPr>
          <w:rFonts w:cs="TimesNewRomanPSMT"/>
        </w:rPr>
        <w:t xml:space="preserve"> ações corretivas</w:t>
      </w:r>
      <w:r w:rsidR="00854F02">
        <w:rPr>
          <w:rFonts w:cs="TimesNewRomanPSMT"/>
        </w:rPr>
        <w:t xml:space="preserve"> </w:t>
      </w:r>
      <w:r w:rsidR="00854F02" w:rsidRPr="00854F02">
        <w:rPr>
          <w:rFonts w:cs="TimesNewRomanPSMT"/>
          <w:color w:val="FF0000"/>
        </w:rPr>
        <w:t xml:space="preserve">por parte dos </w:t>
      </w:r>
      <w:proofErr w:type="spellStart"/>
      <w:r w:rsidR="00854F02" w:rsidRPr="00854F02">
        <w:rPr>
          <w:rFonts w:cs="TimesNewRomanPSMT"/>
          <w:color w:val="FF0000"/>
        </w:rPr>
        <w:t>orgãos</w:t>
      </w:r>
      <w:proofErr w:type="spellEnd"/>
      <w:r w:rsidR="00854F02" w:rsidRPr="00854F02">
        <w:rPr>
          <w:rFonts w:cs="TimesNewRomanPSMT"/>
          <w:color w:val="FF0000"/>
        </w:rPr>
        <w:t xml:space="preserve"> competentes</w:t>
      </w:r>
      <w:r w:rsidR="00C767FB" w:rsidRPr="00854F02">
        <w:rPr>
          <w:rFonts w:cs="TimesNewRomanPSMT"/>
          <w:color w:val="FF0000"/>
        </w:rPr>
        <w:t>.</w:t>
      </w:r>
      <w:r w:rsidR="00C767FB">
        <w:rPr>
          <w:rFonts w:cs="TimesNewRomanPSMT"/>
        </w:rPr>
        <w:t xml:space="preserve"> </w:t>
      </w:r>
      <w:r w:rsidR="00C767FB" w:rsidRPr="00854F02">
        <w:rPr>
          <w:rFonts w:cs="TimesNewRomanPSMT"/>
          <w:strike/>
          <w:color w:val="FF0000"/>
        </w:rPr>
        <w:t>Estes dados subsidiarão a decisão dos órgãos estaduais competentes de adensar pontos de monitoramento ofensivo para diagnóstico do problema.</w:t>
      </w:r>
      <w:r w:rsidR="00C767FB" w:rsidRPr="00854F02">
        <w:rPr>
          <w:rFonts w:cs="TimesNewRomanPSMT"/>
          <w:strike/>
        </w:rPr>
        <w:t xml:space="preserve">  </w:t>
      </w:r>
    </w:p>
    <w:p w:rsidR="001D0343" w:rsidRDefault="001D0343">
      <w:pPr>
        <w:autoSpaceDE w:val="0"/>
        <w:ind w:firstLine="708"/>
        <w:jc w:val="both"/>
        <w:rPr>
          <w:rFonts w:cs="TimesNewRomanPSMT"/>
        </w:rPr>
      </w:pPr>
    </w:p>
    <w:p w:rsidR="001D0343" w:rsidRPr="006F3EBB" w:rsidRDefault="00C767FB">
      <w:pPr>
        <w:autoSpaceDE w:val="0"/>
        <w:ind w:firstLine="708"/>
        <w:jc w:val="both"/>
        <w:rPr>
          <w:rFonts w:cs="TimesNewRomanPSMT"/>
          <w:strike/>
          <w:color w:val="FF0000"/>
        </w:rPr>
      </w:pPr>
      <w:r w:rsidRPr="006F3EBB">
        <w:rPr>
          <w:rFonts w:cs="TimesNewRomanPSMT"/>
          <w:strike/>
          <w:color w:val="FF0000"/>
        </w:rPr>
        <w:t>§ 3º - Os parâmetros determinados pela Resolução CONAMA 396/2008 deverão ser determinados pelo menos a cada 2 (dois) anos;</w:t>
      </w:r>
    </w:p>
    <w:p w:rsidR="00664B8A" w:rsidRDefault="00664B8A" w:rsidP="00664B8A">
      <w:pPr>
        <w:autoSpaceDE w:val="0"/>
        <w:ind w:left="709"/>
        <w:jc w:val="both"/>
        <w:rPr>
          <w:rFonts w:cs="TimesNewRomanPSMT"/>
          <w:b/>
          <w:color w:val="FF0000"/>
        </w:rPr>
      </w:pPr>
    </w:p>
    <w:p w:rsidR="00664B8A" w:rsidRPr="006A1725" w:rsidRDefault="00664B8A" w:rsidP="00664B8A">
      <w:pPr>
        <w:autoSpaceDE w:val="0"/>
        <w:ind w:left="709"/>
        <w:jc w:val="both"/>
        <w:rPr>
          <w:rFonts w:cs="TimesNewRomanPSMT"/>
          <w:strike/>
          <w:color w:val="FF0000"/>
        </w:rPr>
      </w:pPr>
      <w:r w:rsidRPr="006A1725">
        <w:rPr>
          <w:rFonts w:cs="TimesNewRomanPSMT"/>
          <w:b/>
          <w:strike/>
          <w:color w:val="FF0000"/>
        </w:rPr>
        <w:t>Parágrafo Único</w:t>
      </w:r>
      <w:r w:rsidRPr="006A1725">
        <w:rPr>
          <w:rFonts w:cs="TimesNewRomanPSMT"/>
          <w:strike/>
          <w:color w:val="FF0000"/>
        </w:rPr>
        <w:t xml:space="preserve"> - Deverá se estimulada e priorizada a coleta de dados eletrônica de forma automática de modo a evitar erros na manipulação dos dados.</w:t>
      </w:r>
    </w:p>
    <w:p w:rsidR="001D0343" w:rsidRPr="006A1725" w:rsidRDefault="001D0343">
      <w:pPr>
        <w:autoSpaceDE w:val="0"/>
        <w:jc w:val="both"/>
        <w:rPr>
          <w:rFonts w:cs="TimesNewRomanPSMT"/>
          <w:strike/>
        </w:rPr>
      </w:pPr>
    </w:p>
    <w:p w:rsidR="001D0343" w:rsidRDefault="001D0343">
      <w:pPr>
        <w:autoSpaceDE w:val="0"/>
        <w:jc w:val="both"/>
        <w:rPr>
          <w:rFonts w:cs="TimesNewRomanPSMT"/>
        </w:rPr>
      </w:pPr>
    </w:p>
    <w:p w:rsidR="001D0343" w:rsidRPr="006A1725" w:rsidRDefault="00C767FB">
      <w:pPr>
        <w:autoSpaceDE w:val="0"/>
        <w:jc w:val="both"/>
        <w:rPr>
          <w:rFonts w:cs="TimesNewRomanPSMT"/>
          <w:strike/>
          <w:color w:val="FF0000"/>
        </w:rPr>
      </w:pPr>
      <w:r w:rsidRPr="006A1725">
        <w:rPr>
          <w:rFonts w:cs="TimesNewRomanPSMT"/>
          <w:strike/>
          <w:color w:val="FF0000"/>
        </w:rPr>
        <w:tab/>
      </w:r>
      <w:r w:rsidRPr="006A1725">
        <w:rPr>
          <w:rFonts w:cs="TimesNewRomanPSMT"/>
          <w:b/>
          <w:strike/>
          <w:color w:val="FF0000"/>
        </w:rPr>
        <w:t>Art. 6º</w:t>
      </w:r>
      <w:r w:rsidRPr="006A1725">
        <w:rPr>
          <w:rFonts w:cs="TimesNewRomanPSMT"/>
          <w:strike/>
          <w:color w:val="FF0000"/>
        </w:rPr>
        <w:t xml:space="preserve"> - Fica estipulada a freqüência semestral dos seguintes parâmetros: pH, cloretos, nitratos, dureza total, alcalinidade total, ferro total, sólidos dissolvidos, condutividade elétrica, temperatura, coliformes </w:t>
      </w:r>
      <w:proofErr w:type="spellStart"/>
      <w:r w:rsidRPr="006A1725">
        <w:rPr>
          <w:rFonts w:cs="TimesNewRomanPSMT"/>
          <w:strike/>
          <w:color w:val="FF0000"/>
        </w:rPr>
        <w:t>termotolerantes</w:t>
      </w:r>
      <w:proofErr w:type="spellEnd"/>
      <w:r w:rsidRPr="006A1725">
        <w:rPr>
          <w:rFonts w:cs="TimesNewRomanPSMT"/>
          <w:strike/>
          <w:color w:val="FF0000"/>
        </w:rPr>
        <w:t xml:space="preserve"> e nível estático (NE) da água.</w:t>
      </w:r>
    </w:p>
    <w:p w:rsidR="001D0343" w:rsidRDefault="001D0343">
      <w:pPr>
        <w:autoSpaceDE w:val="0"/>
        <w:jc w:val="both"/>
        <w:rPr>
          <w:rFonts w:cs="TimesNewRomanPSMT"/>
        </w:rPr>
      </w:pPr>
    </w:p>
    <w:p w:rsidR="001D0343" w:rsidRDefault="00C767FB">
      <w:pPr>
        <w:autoSpaceDE w:val="0"/>
        <w:jc w:val="both"/>
        <w:rPr>
          <w:rFonts w:cs="TimesNewRomanPSMT"/>
        </w:rPr>
      </w:pPr>
      <w:r>
        <w:rPr>
          <w:rFonts w:cs="TimesNewRomanPSMT"/>
        </w:rPr>
        <w:tab/>
      </w:r>
    </w:p>
    <w:p w:rsidR="001D0343" w:rsidRPr="00ED4B72" w:rsidRDefault="00C767FB">
      <w:pPr>
        <w:autoSpaceDE w:val="0"/>
        <w:jc w:val="both"/>
        <w:rPr>
          <w:rFonts w:cs="TimesNewRomanPSMT"/>
          <w:strike/>
          <w:color w:val="FF0000"/>
        </w:rPr>
      </w:pPr>
      <w:r>
        <w:rPr>
          <w:rFonts w:cs="TimesNewRomanPSMT"/>
        </w:rPr>
        <w:tab/>
      </w:r>
      <w:r w:rsidRPr="00ED4B72">
        <w:rPr>
          <w:rFonts w:cs="TimesNewRomanPSMT"/>
          <w:strike/>
          <w:color w:val="FF0000"/>
        </w:rPr>
        <w:t>§</w:t>
      </w:r>
      <w:r w:rsidRPr="00ED4B72">
        <w:rPr>
          <w:rFonts w:cs="TimesNewRomanPSMT"/>
          <w:b/>
          <w:strike/>
          <w:color w:val="FF0000"/>
        </w:rPr>
        <w:t xml:space="preserve"> </w:t>
      </w:r>
      <w:r w:rsidRPr="00ED4B72">
        <w:rPr>
          <w:rFonts w:cs="TimesNewRomanPSMT"/>
          <w:strike/>
          <w:color w:val="FF0000"/>
        </w:rPr>
        <w:t>2º</w:t>
      </w:r>
      <w:r w:rsidRPr="00ED4B72">
        <w:rPr>
          <w:rFonts w:cs="TimesNewRomanPSMT"/>
          <w:b/>
          <w:strike/>
          <w:color w:val="FF0000"/>
        </w:rPr>
        <w:t xml:space="preserve"> -</w:t>
      </w:r>
      <w:r w:rsidRPr="00ED4B72">
        <w:rPr>
          <w:rFonts w:cs="TimesNewRomanPSMT"/>
          <w:strike/>
          <w:color w:val="FF0000"/>
        </w:rPr>
        <w:t xml:space="preserve"> Os poços selecionados para monitoramento deverão estar protegidos conforme previsto nos itens 5.2.3 e 5.2.5 da NBR 12.212 da ABNT.</w:t>
      </w:r>
    </w:p>
    <w:p w:rsidR="001D0343" w:rsidRDefault="001D0343">
      <w:pPr>
        <w:autoSpaceDE w:val="0"/>
        <w:ind w:firstLine="708"/>
        <w:jc w:val="both"/>
        <w:rPr>
          <w:rFonts w:cs="TimesNewRomanPSMT"/>
          <w:b/>
        </w:rPr>
      </w:pPr>
    </w:p>
    <w:p w:rsidR="001D0343" w:rsidRDefault="00C767FB">
      <w:pPr>
        <w:autoSpaceDE w:val="0"/>
        <w:ind w:left="708"/>
        <w:rPr>
          <w:rFonts w:cs="TimesNewRomanPSMT"/>
        </w:rPr>
      </w:pPr>
      <w:r>
        <w:rPr>
          <w:rFonts w:cs="TimesNewRomanPSMT"/>
          <w:b/>
        </w:rPr>
        <w:t>Art. 7º</w:t>
      </w:r>
      <w:r>
        <w:rPr>
          <w:rFonts w:cs="TimesNewRomanPSMT"/>
        </w:rPr>
        <w:t xml:space="preserve"> - </w:t>
      </w:r>
      <w:r w:rsidR="00ED4B72">
        <w:rPr>
          <w:rFonts w:ascii="Arial" w:hAnsi="Arial" w:cs="Arial"/>
          <w:color w:val="FF0000"/>
        </w:rPr>
        <w:t xml:space="preserve">As </w:t>
      </w:r>
      <w:r w:rsidR="00ED4B72" w:rsidRPr="00E843D7">
        <w:rPr>
          <w:rFonts w:ascii="Arial" w:hAnsi="Arial" w:cs="Arial"/>
          <w:color w:val="FF0000"/>
        </w:rPr>
        <w:t>informações processad</w:t>
      </w:r>
      <w:r w:rsidR="00ED4B72">
        <w:rPr>
          <w:rFonts w:ascii="Arial" w:hAnsi="Arial" w:cs="Arial"/>
          <w:color w:val="FF0000"/>
        </w:rPr>
        <w:t>a</w:t>
      </w:r>
      <w:r w:rsidR="00ED4B72" w:rsidRPr="00E843D7">
        <w:rPr>
          <w:rFonts w:ascii="Arial" w:hAnsi="Arial" w:cs="Arial"/>
          <w:color w:val="FF0000"/>
        </w:rPr>
        <w:t xml:space="preserve">s na rede nacional </w:t>
      </w:r>
      <w:r w:rsidR="00ED4B72">
        <w:rPr>
          <w:rFonts w:ascii="Arial" w:hAnsi="Arial" w:cs="Arial"/>
          <w:color w:val="FF0000"/>
        </w:rPr>
        <w:t>d</w:t>
      </w:r>
      <w:r w:rsidR="00ED4B72" w:rsidRPr="00E843D7">
        <w:rPr>
          <w:rFonts w:ascii="Arial" w:hAnsi="Arial" w:cs="Arial"/>
          <w:color w:val="FF0000"/>
        </w:rPr>
        <w:t xml:space="preserve">e monitoramento de </w:t>
      </w:r>
      <w:r w:rsidR="00ED4B72">
        <w:rPr>
          <w:rFonts w:ascii="Arial" w:hAnsi="Arial" w:cs="Arial"/>
          <w:color w:val="FF0000"/>
        </w:rPr>
        <w:t>água subterrânea serão divulgada</w:t>
      </w:r>
      <w:r w:rsidR="00ED4B72" w:rsidRPr="00E843D7">
        <w:rPr>
          <w:rFonts w:ascii="Arial" w:hAnsi="Arial" w:cs="Arial"/>
          <w:color w:val="FF0000"/>
        </w:rPr>
        <w:t>s em boletim anual e disponibilizad</w:t>
      </w:r>
      <w:r w:rsidR="00ED4B72">
        <w:rPr>
          <w:rFonts w:ascii="Arial" w:hAnsi="Arial" w:cs="Arial"/>
          <w:color w:val="FF0000"/>
        </w:rPr>
        <w:t>a</w:t>
      </w:r>
      <w:r w:rsidR="00ED4B72" w:rsidRPr="00E843D7">
        <w:rPr>
          <w:rFonts w:ascii="Arial" w:hAnsi="Arial" w:cs="Arial"/>
          <w:color w:val="FF0000"/>
        </w:rPr>
        <w:t xml:space="preserve">s </w:t>
      </w:r>
      <w:r w:rsidR="00ED4B72">
        <w:rPr>
          <w:rFonts w:ascii="Arial" w:hAnsi="Arial" w:cs="Arial"/>
          <w:color w:val="FF0000"/>
        </w:rPr>
        <w:t>n</w:t>
      </w:r>
      <w:r w:rsidR="00ED4B72" w:rsidRPr="00E843D7">
        <w:rPr>
          <w:rFonts w:ascii="Arial" w:hAnsi="Arial" w:cs="Arial"/>
          <w:color w:val="FF0000"/>
        </w:rPr>
        <w:t xml:space="preserve">o Sistema Nacional de Informações </w:t>
      </w:r>
      <w:r w:rsidR="00ED4B72" w:rsidRPr="00ED4B72">
        <w:rPr>
          <w:rFonts w:ascii="Arial" w:hAnsi="Arial" w:cs="Arial"/>
          <w:strike/>
          <w:color w:val="FF0000"/>
        </w:rPr>
        <w:t>de</w:t>
      </w:r>
      <w:r w:rsidR="00ED4B72" w:rsidRPr="00ED4B72">
        <w:rPr>
          <w:rFonts w:ascii="Arial" w:hAnsi="Arial" w:cs="Arial"/>
          <w:color w:val="FF0000"/>
        </w:rPr>
        <w:t xml:space="preserve">  sobre</w:t>
      </w:r>
      <w:r w:rsidR="00ED4B72" w:rsidRPr="00E843D7">
        <w:rPr>
          <w:rFonts w:ascii="Arial" w:hAnsi="Arial" w:cs="Arial"/>
          <w:color w:val="FF0000"/>
        </w:rPr>
        <w:t xml:space="preserve"> Recursos Hídricos</w:t>
      </w:r>
      <w:r w:rsidR="00ED4B72">
        <w:rPr>
          <w:rFonts w:ascii="Arial" w:hAnsi="Arial" w:cs="Arial"/>
          <w:color w:val="FF0000"/>
        </w:rPr>
        <w:t xml:space="preserve"> - SNIRH</w:t>
      </w:r>
    </w:p>
    <w:p w:rsidR="001D0343" w:rsidRDefault="00C767FB">
      <w:pPr>
        <w:autoSpaceDE w:val="0"/>
        <w:rPr>
          <w:rFonts w:cs="TimesNewRomanPSMT"/>
        </w:rPr>
      </w:pPr>
      <w:r>
        <w:rPr>
          <w:rFonts w:cs="TimesNewRomanPSMT"/>
        </w:rPr>
        <w:t xml:space="preserve">                                                                                   </w:t>
      </w:r>
    </w:p>
    <w:p w:rsidR="001D0343" w:rsidRPr="00ED4B72" w:rsidRDefault="00C767FB">
      <w:pPr>
        <w:pStyle w:val="textoazul10px"/>
        <w:ind w:firstLine="708"/>
        <w:jc w:val="both"/>
        <w:rPr>
          <w:rFonts w:ascii="Times New Roman" w:hAnsi="Times New Roman"/>
          <w:strike/>
          <w:sz w:val="24"/>
          <w:szCs w:val="24"/>
        </w:rPr>
      </w:pPr>
      <w:r w:rsidRPr="00ED4B72">
        <w:rPr>
          <w:rFonts w:ascii="Times New Roman" w:hAnsi="Times New Roman"/>
          <w:b/>
          <w:strike/>
          <w:sz w:val="24"/>
          <w:szCs w:val="24"/>
        </w:rPr>
        <w:t xml:space="preserve">Art. 8º </w:t>
      </w:r>
      <w:r w:rsidRPr="00ED4B72">
        <w:rPr>
          <w:rFonts w:ascii="Times New Roman" w:hAnsi="Times New Roman"/>
          <w:strike/>
          <w:sz w:val="24"/>
          <w:szCs w:val="24"/>
        </w:rPr>
        <w:t>Todas as informações advinda do monitoramento deverão ser tabuladas e disponibilizadas ao Sistema Nacional de Informações sobre Recursos Hídricos - SNIRH.</w:t>
      </w:r>
    </w:p>
    <w:p w:rsidR="001D0343" w:rsidRDefault="00C767FB">
      <w:pPr>
        <w:autoSpaceDE w:val="0"/>
        <w:spacing w:before="113" w:line="238" w:lineRule="exact"/>
        <w:ind w:firstLine="708"/>
        <w:jc w:val="both"/>
        <w:rPr>
          <w:rFonts w:cs="TimesNewRomanPSMT"/>
          <w:color w:val="FF0000"/>
        </w:rPr>
      </w:pPr>
      <w:r w:rsidRPr="008C7233">
        <w:rPr>
          <w:rFonts w:cs="TimesNewRomanPSMT"/>
          <w:b/>
          <w:strike/>
          <w:color w:val="FF0000"/>
        </w:rPr>
        <w:lastRenderedPageBreak/>
        <w:t>Parágrafo Único</w:t>
      </w:r>
      <w:r w:rsidRPr="008C7233">
        <w:rPr>
          <w:rFonts w:cs="TimesNewRomanPSMT"/>
          <w:strike/>
          <w:color w:val="FF0000"/>
        </w:rPr>
        <w:t xml:space="preserve"> – Os dados de monitoramento e as conclusões deles extraídas deverão ser considerados na formulação dos Planos de Bacias Hidrográficas e dos Planos Diretores Municipais</w:t>
      </w:r>
      <w:r>
        <w:rPr>
          <w:rFonts w:cs="TimesNewRomanPSMT"/>
          <w:color w:val="FF0000"/>
        </w:rPr>
        <w:t>.</w:t>
      </w:r>
    </w:p>
    <w:p w:rsidR="00CF01F7" w:rsidRDefault="00CF01F7" w:rsidP="00CF01F7">
      <w:pPr>
        <w:autoSpaceDE w:val="0"/>
        <w:spacing w:line="360" w:lineRule="auto"/>
        <w:jc w:val="both"/>
        <w:rPr>
          <w:rFonts w:ascii="Arial" w:hAnsi="Arial" w:cs="Arial"/>
          <w:color w:val="FF0000"/>
        </w:rPr>
      </w:pPr>
    </w:p>
    <w:p w:rsidR="00CF01F7" w:rsidRPr="00E843D7" w:rsidRDefault="00AE0170" w:rsidP="00CF01F7">
      <w:pPr>
        <w:autoSpaceDE w:val="0"/>
        <w:spacing w:line="360" w:lineRule="auto"/>
        <w:jc w:val="both"/>
        <w:rPr>
          <w:rFonts w:ascii="Arial" w:hAnsi="Arial" w:cs="Arial"/>
          <w:color w:val="FF0000"/>
        </w:rPr>
      </w:pPr>
      <w:proofErr w:type="spellStart"/>
      <w:r>
        <w:rPr>
          <w:rFonts w:ascii="Arial" w:hAnsi="Arial" w:cs="Arial"/>
          <w:color w:val="FF0000"/>
        </w:rPr>
        <w:t>Art</w:t>
      </w:r>
      <w:proofErr w:type="spellEnd"/>
      <w:r>
        <w:rPr>
          <w:rFonts w:ascii="Arial" w:hAnsi="Arial" w:cs="Arial"/>
          <w:color w:val="FF0000"/>
        </w:rPr>
        <w:t xml:space="preserve"> X ; </w:t>
      </w:r>
    </w:p>
    <w:p w:rsidR="001D0343" w:rsidRDefault="001D0343">
      <w:pPr>
        <w:pStyle w:val="textoazul10px"/>
        <w:ind w:firstLine="708"/>
        <w:jc w:val="both"/>
        <w:rPr>
          <w:rFonts w:ascii="Times New Roman" w:hAnsi="Times New Roman"/>
          <w:sz w:val="24"/>
          <w:szCs w:val="24"/>
        </w:rPr>
      </w:pPr>
    </w:p>
    <w:p w:rsidR="001D0343" w:rsidRDefault="00C767FB">
      <w:pPr>
        <w:autoSpaceDE w:val="0"/>
        <w:spacing w:before="113" w:line="238" w:lineRule="exact"/>
        <w:jc w:val="both"/>
        <w:rPr>
          <w:rFonts w:cs="Tahoma"/>
        </w:rPr>
      </w:pPr>
      <w:r>
        <w:rPr>
          <w:rFonts w:cs="Tahoma"/>
        </w:rPr>
        <w:tab/>
      </w:r>
      <w:r>
        <w:rPr>
          <w:rFonts w:cs="Tahoma"/>
          <w:b/>
        </w:rPr>
        <w:t>Art. 9º</w:t>
      </w:r>
      <w:r>
        <w:rPr>
          <w:rFonts w:cs="Tahoma"/>
        </w:rPr>
        <w:t xml:space="preserve"> - Esta resolução entra em vigor na data de sua publicação.</w:t>
      </w:r>
    </w:p>
    <w:p w:rsidR="001D0343" w:rsidRDefault="001D0343">
      <w:pPr>
        <w:autoSpaceDE w:val="0"/>
        <w:spacing w:before="113" w:line="238" w:lineRule="exact"/>
        <w:jc w:val="both"/>
        <w:rPr>
          <w:rFonts w:cs="Tahoma"/>
          <w:color w:val="00B050"/>
        </w:rPr>
      </w:pPr>
    </w:p>
    <w:p w:rsidR="001D0343" w:rsidRDefault="001D0343">
      <w:pPr>
        <w:autoSpaceDE w:val="0"/>
        <w:spacing w:before="113" w:line="238" w:lineRule="exact"/>
        <w:jc w:val="both"/>
        <w:rPr>
          <w:rFonts w:cs="TimesNewRomanPSMT"/>
          <w:color w:val="FF0000"/>
        </w:rPr>
      </w:pPr>
    </w:p>
    <w:p w:rsidR="001D0343" w:rsidRDefault="001D0343">
      <w:pPr>
        <w:autoSpaceDE w:val="0"/>
        <w:spacing w:before="113" w:line="238" w:lineRule="exact"/>
        <w:jc w:val="both"/>
        <w:rPr>
          <w:rFonts w:cs="TimesNewRomanPSMT"/>
          <w:color w:val="FF0000"/>
        </w:rPr>
      </w:pPr>
    </w:p>
    <w:p w:rsidR="001D0343" w:rsidRDefault="001D0343">
      <w:pPr>
        <w:autoSpaceDE w:val="0"/>
        <w:spacing w:before="113" w:line="238" w:lineRule="exact"/>
        <w:jc w:val="both"/>
        <w:rPr>
          <w:rFonts w:cs="Tahoma"/>
          <w:color w:val="00B050"/>
        </w:rPr>
      </w:pPr>
    </w:p>
    <w:p w:rsidR="001D0343" w:rsidRDefault="00C767FB">
      <w:pPr>
        <w:rPr>
          <w:b/>
          <w:bCs/>
          <w:color w:val="00B050"/>
          <w:shd w:val="clear" w:color="auto" w:fill="00FFFF"/>
        </w:rPr>
      </w:pPr>
      <w:r>
        <w:rPr>
          <w:b/>
          <w:bCs/>
          <w:color w:val="00B050"/>
          <w:shd w:val="clear" w:color="auto" w:fill="00FFFF"/>
        </w:rPr>
        <w:t>MONITORAMENTO DE ÁGUAS SUBTERRÂNEAS</w:t>
      </w:r>
    </w:p>
    <w:p w:rsidR="001D0343" w:rsidRDefault="001D0343">
      <w:pPr>
        <w:rPr>
          <w:b/>
          <w:bCs/>
          <w:color w:val="00B050"/>
        </w:rPr>
      </w:pPr>
    </w:p>
    <w:p w:rsidR="001D0343" w:rsidRDefault="001D0343">
      <w:pPr>
        <w:rPr>
          <w:b/>
          <w:bCs/>
          <w:color w:val="00B050"/>
        </w:rPr>
      </w:pPr>
    </w:p>
    <w:p w:rsidR="001D0343" w:rsidRDefault="001D0343">
      <w:pPr>
        <w:rPr>
          <w:b/>
          <w:bCs/>
          <w:color w:val="00B050"/>
        </w:rPr>
      </w:pPr>
    </w:p>
    <w:p w:rsidR="001D0343" w:rsidRDefault="00C767FB">
      <w:pPr>
        <w:autoSpaceDE w:val="0"/>
        <w:rPr>
          <w:b/>
          <w:color w:val="00B050"/>
          <w:shd w:val="clear" w:color="auto" w:fill="00FFFF"/>
        </w:rPr>
      </w:pPr>
      <w:r>
        <w:rPr>
          <w:b/>
          <w:color w:val="00B050"/>
          <w:shd w:val="clear" w:color="auto" w:fill="00FFFF"/>
        </w:rPr>
        <w:t>Resolução CNRH 15/2001</w:t>
      </w:r>
    </w:p>
    <w:p w:rsidR="001D0343" w:rsidRDefault="00C767FB">
      <w:pPr>
        <w:autoSpaceDE w:val="0"/>
        <w:rPr>
          <w:color w:val="00B050"/>
        </w:rPr>
      </w:pPr>
      <w:r>
        <w:rPr>
          <w:b/>
          <w:color w:val="00B050"/>
        </w:rPr>
        <w:t>Estabelece diretrizes gerais para a gestão de águas subterrâneas</w:t>
      </w:r>
      <w:r>
        <w:rPr>
          <w:color w:val="00B050"/>
        </w:rPr>
        <w:t>.</w:t>
      </w:r>
    </w:p>
    <w:p w:rsidR="001D0343" w:rsidRDefault="001D0343">
      <w:pPr>
        <w:autoSpaceDE w:val="0"/>
        <w:rPr>
          <w:b/>
          <w:color w:val="00B050"/>
        </w:rPr>
      </w:pPr>
    </w:p>
    <w:p w:rsidR="001D0343" w:rsidRDefault="00C767FB">
      <w:pPr>
        <w:autoSpaceDE w:val="0"/>
        <w:rPr>
          <w:color w:val="00B050"/>
        </w:rPr>
      </w:pPr>
      <w:r>
        <w:rPr>
          <w:color w:val="00B050"/>
        </w:rPr>
        <w:t>Art. 1° Para efeito desta resolução consideram-se:</w:t>
      </w:r>
      <w:r>
        <w:rPr>
          <w:color w:val="00B050"/>
        </w:rPr>
        <w:br/>
      </w:r>
      <w:r>
        <w:rPr>
          <w:color w:val="00B050"/>
        </w:rPr>
        <w:br/>
        <w:t>I - Águas Subterrâneas - as águas que ocorrem naturalmente ou artificialmente no subsolo;</w:t>
      </w:r>
      <w:r>
        <w:rPr>
          <w:color w:val="00B050"/>
        </w:rPr>
        <w:br/>
        <w:t>II - Águas Meteóricas - as águas encontradas na atmosfera em quaisquer de seus estados físicos;</w:t>
      </w:r>
      <w:r>
        <w:rPr>
          <w:color w:val="00B050"/>
        </w:rPr>
        <w:br/>
        <w:t xml:space="preserve">III- Aqüífero - corpo </w:t>
      </w:r>
      <w:proofErr w:type="spellStart"/>
      <w:r>
        <w:rPr>
          <w:color w:val="00B050"/>
        </w:rPr>
        <w:t>hidrogeológico</w:t>
      </w:r>
      <w:proofErr w:type="spellEnd"/>
      <w:r>
        <w:rPr>
          <w:color w:val="00B050"/>
        </w:rPr>
        <w:t xml:space="preserve"> com capacidade de acumular e transmitir água através dos seus poros, fissuras ou espaços resultantes da dissolução e </w:t>
      </w:r>
      <w:proofErr w:type="spellStart"/>
      <w:r>
        <w:rPr>
          <w:color w:val="00B050"/>
        </w:rPr>
        <w:t>carreamento</w:t>
      </w:r>
      <w:proofErr w:type="spellEnd"/>
      <w:r>
        <w:rPr>
          <w:color w:val="00B050"/>
        </w:rPr>
        <w:t xml:space="preserve"> de materiais rochosos;</w:t>
      </w:r>
      <w:r>
        <w:rPr>
          <w:color w:val="00B050"/>
        </w:rPr>
        <w:br/>
        <w:t>IV - Corpo Hídrico Subterrâneo - volume de água armazenado no subsolo.</w:t>
      </w:r>
    </w:p>
    <w:p w:rsidR="001D0343" w:rsidRDefault="001D0343">
      <w:pPr>
        <w:autoSpaceDE w:val="0"/>
        <w:rPr>
          <w:color w:val="00B050"/>
        </w:rPr>
      </w:pPr>
    </w:p>
    <w:p w:rsidR="001D0343" w:rsidRDefault="001D0343">
      <w:pPr>
        <w:autoSpaceDE w:val="0"/>
        <w:rPr>
          <w:color w:val="00B050"/>
        </w:rPr>
      </w:pPr>
    </w:p>
    <w:p w:rsidR="001D0343" w:rsidRDefault="00C767FB">
      <w:pPr>
        <w:autoSpaceDE w:val="0"/>
        <w:rPr>
          <w:b/>
          <w:color w:val="00B050"/>
          <w:shd w:val="clear" w:color="auto" w:fill="00FFFF"/>
        </w:rPr>
      </w:pPr>
      <w:r>
        <w:rPr>
          <w:b/>
          <w:color w:val="00B050"/>
          <w:shd w:val="clear" w:color="auto" w:fill="00FFFF"/>
        </w:rPr>
        <w:t>Resolução CNRH 22/2002</w:t>
      </w:r>
    </w:p>
    <w:p w:rsidR="001D0343" w:rsidRDefault="00C767FB">
      <w:pPr>
        <w:autoSpaceDE w:val="0"/>
        <w:rPr>
          <w:color w:val="00B050"/>
        </w:rPr>
      </w:pPr>
      <w:r>
        <w:rPr>
          <w:b/>
          <w:color w:val="00B050"/>
        </w:rPr>
        <w:t>Estabelece diretrizes para inserção das águas subterrâneas no instrumento Planos de Recursos Hídricos</w:t>
      </w:r>
      <w:hyperlink r:id="rId5" w:history="1">
        <w:r>
          <w:rPr>
            <w:rStyle w:val="Hyperlink"/>
          </w:rPr>
          <w:t>.</w:t>
        </w:r>
      </w:hyperlink>
    </w:p>
    <w:p w:rsidR="001D0343" w:rsidRDefault="00C767FB">
      <w:pPr>
        <w:pStyle w:val="NormalWeb"/>
        <w:rPr>
          <w:color w:val="00B050"/>
          <w:lang w:val="pt-BR"/>
        </w:rPr>
      </w:pPr>
      <w:r>
        <w:rPr>
          <w:color w:val="00B050"/>
          <w:lang w:val="pt-BR"/>
        </w:rPr>
        <w:t>Art. 4º Os Planos de Recursos Hídricos, elaborados por bacia, devem contemplar o monitoramento da quantidade e qualidade dos recursos dos aqüíferos, com os resultados devidamente apresentados em mapa e a definição mínima da:</w:t>
      </w:r>
    </w:p>
    <w:p w:rsidR="001D0343" w:rsidRDefault="00C767FB">
      <w:pPr>
        <w:pStyle w:val="NormalWeb"/>
        <w:rPr>
          <w:color w:val="00B050"/>
          <w:lang w:val="pt-BR"/>
        </w:rPr>
      </w:pPr>
      <w:r>
        <w:rPr>
          <w:color w:val="00B050"/>
          <w:lang w:val="pt-BR"/>
        </w:rPr>
        <w:t>I – rede de monitoramento dos níveis d’água dos aqüíferos e sua qualidade;</w:t>
      </w:r>
      <w:r>
        <w:rPr>
          <w:color w:val="00B050"/>
          <w:lang w:val="pt-BR"/>
        </w:rPr>
        <w:br/>
        <w:t>II – densidade dos pontos de monitoramento; e,</w:t>
      </w:r>
      <w:r>
        <w:rPr>
          <w:color w:val="00B050"/>
          <w:lang w:val="pt-BR"/>
        </w:rPr>
        <w:br/>
        <w:t>III – freqüência de monitoramento dos parâmetros.</w:t>
      </w:r>
    </w:p>
    <w:p w:rsidR="001D0343" w:rsidRDefault="001D0343">
      <w:pPr>
        <w:pStyle w:val="NormalWeb"/>
        <w:rPr>
          <w:color w:val="00B050"/>
          <w:lang w:val="pt-BR"/>
        </w:rPr>
      </w:pPr>
    </w:p>
    <w:p w:rsidR="001D0343" w:rsidRDefault="00C767FB">
      <w:pPr>
        <w:autoSpaceDE w:val="0"/>
        <w:rPr>
          <w:b/>
          <w:bCs/>
          <w:color w:val="00B050"/>
          <w:shd w:val="clear" w:color="auto" w:fill="00FFFF"/>
        </w:rPr>
      </w:pPr>
      <w:r>
        <w:rPr>
          <w:b/>
          <w:bCs/>
          <w:color w:val="00B050"/>
          <w:shd w:val="clear" w:color="auto" w:fill="00FFFF"/>
        </w:rPr>
        <w:t>Resolução CNRH  91/2008</w:t>
      </w:r>
    </w:p>
    <w:p w:rsidR="001D0343" w:rsidRDefault="00C767FB">
      <w:pPr>
        <w:autoSpaceDE w:val="0"/>
        <w:rPr>
          <w:b/>
          <w:iCs/>
          <w:color w:val="00B050"/>
        </w:rPr>
      </w:pPr>
      <w:r>
        <w:rPr>
          <w:b/>
          <w:iCs/>
          <w:color w:val="00B050"/>
        </w:rPr>
        <w:t>Dispõe sobre procedimentos gerais para o enquadramento dos corpos de água superficiais e subterrâneos.</w:t>
      </w:r>
    </w:p>
    <w:p w:rsidR="001D0343" w:rsidRDefault="001D0343">
      <w:pPr>
        <w:autoSpaceDE w:val="0"/>
        <w:rPr>
          <w:b/>
          <w:i/>
          <w:iCs/>
          <w:color w:val="00B050"/>
        </w:rPr>
      </w:pPr>
    </w:p>
    <w:p w:rsidR="001D0343" w:rsidRDefault="00C767FB">
      <w:pPr>
        <w:autoSpaceDE w:val="0"/>
        <w:rPr>
          <w:b/>
          <w:i/>
          <w:iCs/>
          <w:color w:val="00B050"/>
        </w:rPr>
      </w:pPr>
      <w:r>
        <w:rPr>
          <w:b/>
          <w:i/>
          <w:iCs/>
          <w:color w:val="00B050"/>
        </w:rPr>
        <w:t>-NENHUMA MENÇÃO A MONITORAMENTO</w:t>
      </w:r>
    </w:p>
    <w:p w:rsidR="001D0343" w:rsidRDefault="001D0343">
      <w:pPr>
        <w:autoSpaceDE w:val="0"/>
        <w:rPr>
          <w:b/>
          <w:i/>
          <w:iCs/>
          <w:color w:val="00B050"/>
        </w:rPr>
      </w:pPr>
    </w:p>
    <w:p w:rsidR="001D0343" w:rsidRDefault="001D0343">
      <w:pPr>
        <w:autoSpaceDE w:val="0"/>
        <w:rPr>
          <w:b/>
          <w:i/>
          <w:iCs/>
          <w:color w:val="00B050"/>
        </w:rPr>
      </w:pPr>
    </w:p>
    <w:p w:rsidR="001D0343" w:rsidRDefault="001D0343">
      <w:pPr>
        <w:autoSpaceDE w:val="0"/>
        <w:rPr>
          <w:i/>
          <w:iCs/>
          <w:color w:val="00B050"/>
        </w:rPr>
      </w:pPr>
    </w:p>
    <w:p w:rsidR="001D0343" w:rsidRDefault="00C767FB">
      <w:pPr>
        <w:rPr>
          <w:b/>
          <w:color w:val="00B050"/>
          <w:shd w:val="clear" w:color="auto" w:fill="00FFFF"/>
        </w:rPr>
      </w:pPr>
      <w:r>
        <w:rPr>
          <w:b/>
          <w:color w:val="00B050"/>
          <w:shd w:val="clear" w:color="auto" w:fill="00FFFF"/>
        </w:rPr>
        <w:t>Resolução CNRH 92/2008</w:t>
      </w:r>
    </w:p>
    <w:p w:rsidR="001D0343" w:rsidRDefault="00C767FB">
      <w:pPr>
        <w:autoSpaceDE w:val="0"/>
        <w:rPr>
          <w:b/>
          <w:iCs/>
          <w:color w:val="00B050"/>
        </w:rPr>
      </w:pPr>
      <w:r>
        <w:rPr>
          <w:b/>
          <w:iCs/>
          <w:color w:val="00B050"/>
        </w:rPr>
        <w:t>Estabelece critérios e procedimentos gerais para proteção e conservação das águas subterrâneas no território brasileiro.</w:t>
      </w:r>
    </w:p>
    <w:p w:rsidR="001D0343" w:rsidRDefault="001D0343">
      <w:pPr>
        <w:rPr>
          <w:color w:val="00B050"/>
        </w:rPr>
      </w:pPr>
    </w:p>
    <w:p w:rsidR="001D0343" w:rsidRDefault="00C767FB">
      <w:pPr>
        <w:autoSpaceDE w:val="0"/>
        <w:rPr>
          <w:color w:val="00B050"/>
        </w:rPr>
      </w:pPr>
      <w:r>
        <w:rPr>
          <w:color w:val="00B050"/>
        </w:rPr>
        <w:t>Art. 6° - Parágrafo único. As captações de águas subterrâneas deverão ser dotadas de dispositivos que permitam a coleta de água, medições de nível, vazão e volume captado visando o monitoramento quantitativo e qualitativo.</w:t>
      </w:r>
    </w:p>
    <w:p w:rsidR="001D0343" w:rsidRDefault="001D0343">
      <w:pPr>
        <w:autoSpaceDE w:val="0"/>
        <w:rPr>
          <w:color w:val="00B050"/>
        </w:rPr>
      </w:pPr>
    </w:p>
    <w:p w:rsidR="001D0343" w:rsidRDefault="00C767FB">
      <w:pPr>
        <w:autoSpaceDE w:val="0"/>
        <w:rPr>
          <w:color w:val="00B050"/>
        </w:rPr>
      </w:pPr>
      <w:r>
        <w:rPr>
          <w:color w:val="00B050"/>
        </w:rPr>
        <w:t>Art. 9° - § 1o O monitoramento deverá obedecer a critérios técnicos e metodologias aceitas pelo órgão gestor de recursos hídricos competente.</w:t>
      </w:r>
    </w:p>
    <w:p w:rsidR="001D0343" w:rsidRDefault="001D0343">
      <w:pPr>
        <w:autoSpaceDE w:val="0"/>
        <w:rPr>
          <w:color w:val="00B050"/>
        </w:rPr>
      </w:pPr>
    </w:p>
    <w:p w:rsidR="001D0343" w:rsidRDefault="00C767FB">
      <w:pPr>
        <w:autoSpaceDE w:val="0"/>
        <w:rPr>
          <w:color w:val="00B050"/>
        </w:rPr>
      </w:pPr>
      <w:r>
        <w:rPr>
          <w:b/>
          <w:bCs/>
          <w:color w:val="00B050"/>
        </w:rPr>
        <w:t xml:space="preserve">Art. 10. </w:t>
      </w:r>
      <w:r>
        <w:rPr>
          <w:color w:val="00B050"/>
        </w:rPr>
        <w:t>Programas de monitoramento qualitativo e quantitativo das águas subterrâneas</w:t>
      </w:r>
    </w:p>
    <w:p w:rsidR="001D0343" w:rsidRDefault="00C767FB">
      <w:pPr>
        <w:autoSpaceDE w:val="0"/>
        <w:rPr>
          <w:color w:val="00B050"/>
        </w:rPr>
      </w:pPr>
      <w:r>
        <w:rPr>
          <w:color w:val="00B050"/>
        </w:rPr>
        <w:t>devem ser implementados com ênfase nas áreas de:</w:t>
      </w:r>
    </w:p>
    <w:p w:rsidR="001D0343" w:rsidRDefault="00C767FB">
      <w:pPr>
        <w:autoSpaceDE w:val="0"/>
        <w:rPr>
          <w:color w:val="00B050"/>
        </w:rPr>
      </w:pPr>
      <w:r>
        <w:rPr>
          <w:color w:val="00B050"/>
        </w:rPr>
        <w:t>I - proteção;</w:t>
      </w:r>
    </w:p>
    <w:p w:rsidR="001D0343" w:rsidRDefault="00C767FB">
      <w:pPr>
        <w:autoSpaceDE w:val="0"/>
        <w:rPr>
          <w:color w:val="00B050"/>
        </w:rPr>
      </w:pPr>
      <w:r>
        <w:rPr>
          <w:color w:val="00B050"/>
        </w:rPr>
        <w:t>II - restrição e controle;</w:t>
      </w:r>
    </w:p>
    <w:p w:rsidR="001D0343" w:rsidRDefault="00C767FB">
      <w:pPr>
        <w:autoSpaceDE w:val="0"/>
        <w:rPr>
          <w:color w:val="00B050"/>
        </w:rPr>
      </w:pPr>
      <w:r>
        <w:rPr>
          <w:color w:val="00B050"/>
        </w:rPr>
        <w:t>III - influência de empreendimentos que apresentem potencial de poluição e risco de</w:t>
      </w:r>
    </w:p>
    <w:p w:rsidR="001D0343" w:rsidRDefault="00C767FB">
      <w:pPr>
        <w:autoSpaceDE w:val="0"/>
        <w:rPr>
          <w:color w:val="00B050"/>
        </w:rPr>
      </w:pPr>
      <w:r>
        <w:rPr>
          <w:color w:val="00B050"/>
        </w:rPr>
        <w:t>contaminação;</w:t>
      </w:r>
    </w:p>
    <w:p w:rsidR="001D0343" w:rsidRDefault="00C767FB">
      <w:pPr>
        <w:autoSpaceDE w:val="0"/>
        <w:rPr>
          <w:color w:val="00B050"/>
        </w:rPr>
      </w:pPr>
      <w:r>
        <w:rPr>
          <w:color w:val="00B050"/>
        </w:rPr>
        <w:t>IV - risco geotécnico;</w:t>
      </w:r>
    </w:p>
    <w:p w:rsidR="001D0343" w:rsidRDefault="00C767FB">
      <w:pPr>
        <w:autoSpaceDE w:val="0"/>
        <w:rPr>
          <w:color w:val="00B050"/>
        </w:rPr>
      </w:pPr>
      <w:r>
        <w:rPr>
          <w:color w:val="00B050"/>
        </w:rPr>
        <w:t xml:space="preserve">V - </w:t>
      </w:r>
      <w:proofErr w:type="spellStart"/>
      <w:r>
        <w:rPr>
          <w:color w:val="00B050"/>
        </w:rPr>
        <w:t>superexplotação</w:t>
      </w:r>
      <w:proofErr w:type="spellEnd"/>
      <w:r>
        <w:rPr>
          <w:color w:val="00B050"/>
        </w:rPr>
        <w:t>;</w:t>
      </w:r>
    </w:p>
    <w:p w:rsidR="001D0343" w:rsidRDefault="00C767FB">
      <w:pPr>
        <w:autoSpaceDE w:val="0"/>
        <w:rPr>
          <w:color w:val="00B050"/>
        </w:rPr>
      </w:pPr>
      <w:r>
        <w:rPr>
          <w:color w:val="00B050"/>
        </w:rPr>
        <w:t>VI - intrusão marinha;</w:t>
      </w:r>
    </w:p>
    <w:p w:rsidR="001D0343" w:rsidRDefault="00C767FB">
      <w:pPr>
        <w:autoSpaceDE w:val="0"/>
        <w:rPr>
          <w:color w:val="00B050"/>
        </w:rPr>
      </w:pPr>
      <w:r>
        <w:rPr>
          <w:color w:val="00B050"/>
        </w:rPr>
        <w:t>VII - recarga e descarga; e</w:t>
      </w:r>
    </w:p>
    <w:p w:rsidR="001D0343" w:rsidRDefault="00C767FB">
      <w:pPr>
        <w:autoSpaceDE w:val="0"/>
        <w:rPr>
          <w:color w:val="00B050"/>
        </w:rPr>
      </w:pPr>
      <w:r>
        <w:rPr>
          <w:color w:val="00B050"/>
        </w:rPr>
        <w:t>VIII - recarga artificial.</w:t>
      </w:r>
    </w:p>
    <w:p w:rsidR="001D0343" w:rsidRDefault="00C767FB">
      <w:pPr>
        <w:autoSpaceDE w:val="0"/>
        <w:rPr>
          <w:color w:val="00B050"/>
        </w:rPr>
      </w:pPr>
      <w:r>
        <w:rPr>
          <w:color w:val="00B050"/>
        </w:rPr>
        <w:t>Parágrafo único. Os órgãos gestores dos recursos hídricos em articulação com os órgãos</w:t>
      </w:r>
    </w:p>
    <w:p w:rsidR="001D0343" w:rsidRDefault="00C767FB">
      <w:pPr>
        <w:autoSpaceDE w:val="0"/>
        <w:rPr>
          <w:color w:val="00B050"/>
        </w:rPr>
      </w:pPr>
      <w:r>
        <w:rPr>
          <w:color w:val="00B050"/>
        </w:rPr>
        <w:t>ambientais e de saúde poderão exigir dos usuários o monitoramento da água subterrânea outorgada nessas áreas.</w:t>
      </w:r>
    </w:p>
    <w:p w:rsidR="001D0343" w:rsidRDefault="001D0343">
      <w:pPr>
        <w:rPr>
          <w:b/>
          <w:bCs/>
          <w:color w:val="00B050"/>
        </w:rPr>
      </w:pPr>
    </w:p>
    <w:p w:rsidR="001D0343" w:rsidRDefault="001D0343">
      <w:pPr>
        <w:rPr>
          <w:b/>
          <w:bCs/>
          <w:color w:val="00B050"/>
        </w:rPr>
      </w:pPr>
    </w:p>
    <w:p w:rsidR="001D0343" w:rsidRDefault="00C767FB">
      <w:pPr>
        <w:autoSpaceDE w:val="0"/>
        <w:rPr>
          <w:b/>
          <w:color w:val="00B050"/>
          <w:shd w:val="clear" w:color="auto" w:fill="00FFFF"/>
        </w:rPr>
      </w:pPr>
      <w:r>
        <w:rPr>
          <w:b/>
          <w:color w:val="00B050"/>
          <w:shd w:val="clear" w:color="auto" w:fill="00FFFF"/>
        </w:rPr>
        <w:t>Resolução CONAMA 357/2005</w:t>
      </w:r>
    </w:p>
    <w:p w:rsidR="001D0343" w:rsidRDefault="00C767FB">
      <w:pPr>
        <w:autoSpaceDE w:val="0"/>
        <w:rPr>
          <w:b/>
          <w:color w:val="00B050"/>
        </w:rPr>
      </w:pPr>
      <w:r>
        <w:rPr>
          <w:b/>
          <w:color w:val="00B050"/>
        </w:rPr>
        <w:t>"Dispõe sobre a classificação dos corpos de água e diretrizes ambientais para o seu enquadramento, bem como estabelece as condições e padrões de lançamento de efluentes, e dá outras providências."</w:t>
      </w:r>
    </w:p>
    <w:p w:rsidR="001D0343" w:rsidRDefault="001D0343">
      <w:pPr>
        <w:autoSpaceDE w:val="0"/>
        <w:ind w:left="360"/>
        <w:rPr>
          <w:b/>
          <w:color w:val="00B050"/>
        </w:rPr>
      </w:pPr>
    </w:p>
    <w:p w:rsidR="001D0343" w:rsidRDefault="00C767FB">
      <w:pPr>
        <w:autoSpaceDE w:val="0"/>
        <w:rPr>
          <w:color w:val="00B050"/>
        </w:rPr>
      </w:pPr>
      <w:r>
        <w:rPr>
          <w:color w:val="00B050"/>
        </w:rPr>
        <w:t>Art. 2o - Para efeito desta Resolução são adotadas as seguintes definições:</w:t>
      </w:r>
    </w:p>
    <w:p w:rsidR="001D0343" w:rsidRDefault="001D0343">
      <w:pPr>
        <w:autoSpaceDE w:val="0"/>
        <w:rPr>
          <w:b/>
          <w:color w:val="00B050"/>
        </w:rPr>
      </w:pPr>
    </w:p>
    <w:p w:rsidR="001D0343" w:rsidRDefault="00C767FB">
      <w:pPr>
        <w:autoSpaceDE w:val="0"/>
        <w:rPr>
          <w:color w:val="00B050"/>
        </w:rPr>
      </w:pPr>
      <w:r>
        <w:rPr>
          <w:color w:val="00B050"/>
        </w:rPr>
        <w:t>XXV - monitoramento: medição ou verificação de parâmetros de qualidade e quantidade</w:t>
      </w:r>
    </w:p>
    <w:p w:rsidR="001D0343" w:rsidRDefault="00C767FB">
      <w:pPr>
        <w:autoSpaceDE w:val="0"/>
        <w:rPr>
          <w:color w:val="00B050"/>
        </w:rPr>
      </w:pPr>
      <w:r>
        <w:rPr>
          <w:color w:val="00B050"/>
        </w:rPr>
        <w:t>de água, que pode ser contínua ou periódica, utilizada para acompanhamento da</w:t>
      </w:r>
    </w:p>
    <w:p w:rsidR="001D0343" w:rsidRDefault="00C767FB">
      <w:pPr>
        <w:rPr>
          <w:color w:val="00B050"/>
        </w:rPr>
      </w:pPr>
      <w:r>
        <w:rPr>
          <w:color w:val="00B050"/>
        </w:rPr>
        <w:t>condição e controle da qualidade do corpo de água;</w:t>
      </w:r>
    </w:p>
    <w:p w:rsidR="001D0343" w:rsidRDefault="001D0343">
      <w:pPr>
        <w:rPr>
          <w:color w:val="00B050"/>
        </w:rPr>
      </w:pPr>
    </w:p>
    <w:p w:rsidR="001D0343" w:rsidRDefault="001D0343">
      <w:pPr>
        <w:rPr>
          <w:color w:val="00B050"/>
        </w:rPr>
      </w:pPr>
    </w:p>
    <w:p w:rsidR="001D0343" w:rsidRDefault="00C767FB">
      <w:pPr>
        <w:rPr>
          <w:b/>
          <w:color w:val="00B050"/>
          <w:shd w:val="clear" w:color="auto" w:fill="00FFFF"/>
        </w:rPr>
      </w:pPr>
      <w:r>
        <w:rPr>
          <w:b/>
          <w:color w:val="00B050"/>
          <w:shd w:val="clear" w:color="auto" w:fill="00FFFF"/>
        </w:rPr>
        <w:t>Resolução CONAMA  396/2008</w:t>
      </w:r>
    </w:p>
    <w:p w:rsidR="001D0343" w:rsidRDefault="00C767FB">
      <w:pPr>
        <w:rPr>
          <w:b/>
          <w:color w:val="00B050"/>
        </w:rPr>
      </w:pPr>
      <w:r>
        <w:rPr>
          <w:color w:val="00B050"/>
        </w:rPr>
        <w:t>"</w:t>
      </w:r>
      <w:r>
        <w:rPr>
          <w:b/>
          <w:color w:val="00B050"/>
        </w:rPr>
        <w:t>Dispõe sobre a classificação e diretrizes ambientais para o enquadramento das águas subterrâneas e dá outras providências."</w:t>
      </w:r>
    </w:p>
    <w:p w:rsidR="001D0343" w:rsidRDefault="001D0343">
      <w:pPr>
        <w:ind w:left="360"/>
        <w:rPr>
          <w:b/>
          <w:color w:val="00B050"/>
        </w:rPr>
      </w:pPr>
    </w:p>
    <w:p w:rsidR="001D0343" w:rsidRDefault="00C767FB">
      <w:pPr>
        <w:autoSpaceDE w:val="0"/>
        <w:rPr>
          <w:color w:val="00B050"/>
        </w:rPr>
      </w:pPr>
      <w:r>
        <w:rPr>
          <w:color w:val="00B050"/>
        </w:rPr>
        <w:t>Art. 2° XIII - monitoramento: medição ou verificação de parâmetros de qualidade ou</w:t>
      </w:r>
    </w:p>
    <w:p w:rsidR="001D0343" w:rsidRDefault="00C767FB">
      <w:pPr>
        <w:rPr>
          <w:color w:val="00B050"/>
        </w:rPr>
      </w:pPr>
      <w:r>
        <w:rPr>
          <w:color w:val="00B050"/>
        </w:rPr>
        <w:t>quantidade das águas subterrâneas, em freqüência definida;</w:t>
      </w:r>
    </w:p>
    <w:p w:rsidR="001D0343" w:rsidRDefault="001D0343">
      <w:pPr>
        <w:rPr>
          <w:color w:val="00B050"/>
        </w:rPr>
      </w:pPr>
    </w:p>
    <w:p w:rsidR="001D0343" w:rsidRDefault="00C767FB">
      <w:pPr>
        <w:autoSpaceDE w:val="0"/>
        <w:rPr>
          <w:color w:val="00B050"/>
        </w:rPr>
      </w:pPr>
      <w:r>
        <w:rPr>
          <w:color w:val="00B050"/>
        </w:rPr>
        <w:t>Art. 13</w:t>
      </w:r>
    </w:p>
    <w:p w:rsidR="001D0343" w:rsidRDefault="00C767FB">
      <w:pPr>
        <w:autoSpaceDE w:val="0"/>
        <w:rPr>
          <w:color w:val="00B050"/>
        </w:rPr>
      </w:pPr>
      <w:r>
        <w:rPr>
          <w:color w:val="00B050"/>
        </w:rPr>
        <w:t xml:space="preserve"> § 1o A freqüência inicial do monitoramento deverá ser no mínimo semestral e definida</w:t>
      </w:r>
    </w:p>
    <w:p w:rsidR="001D0343" w:rsidRDefault="00C767FB">
      <w:pPr>
        <w:autoSpaceDE w:val="0"/>
        <w:rPr>
          <w:color w:val="00B050"/>
        </w:rPr>
      </w:pPr>
      <w:r>
        <w:rPr>
          <w:color w:val="00B050"/>
        </w:rPr>
        <w:t xml:space="preserve">em função das características </w:t>
      </w:r>
      <w:proofErr w:type="spellStart"/>
      <w:r>
        <w:rPr>
          <w:color w:val="00B050"/>
        </w:rPr>
        <w:t>hidrogeológicas</w:t>
      </w:r>
      <w:proofErr w:type="spellEnd"/>
      <w:r>
        <w:rPr>
          <w:color w:val="00B050"/>
        </w:rPr>
        <w:t xml:space="preserve"> e </w:t>
      </w:r>
      <w:proofErr w:type="spellStart"/>
      <w:r>
        <w:rPr>
          <w:color w:val="00B050"/>
        </w:rPr>
        <w:t>hidrogeoquímicas</w:t>
      </w:r>
      <w:proofErr w:type="spellEnd"/>
      <w:r>
        <w:rPr>
          <w:color w:val="00B050"/>
        </w:rPr>
        <w:t xml:space="preserve"> dos aqüíferos, das</w:t>
      </w:r>
    </w:p>
    <w:p w:rsidR="001D0343" w:rsidRDefault="00C767FB">
      <w:pPr>
        <w:autoSpaceDE w:val="0"/>
        <w:rPr>
          <w:color w:val="00B050"/>
        </w:rPr>
      </w:pPr>
      <w:r>
        <w:rPr>
          <w:color w:val="00B050"/>
        </w:rPr>
        <w:t>fontes de poluição e dos usos pretendidos, podendo ser reavaliada após um período</w:t>
      </w:r>
    </w:p>
    <w:p w:rsidR="001D0343" w:rsidRDefault="00C767FB">
      <w:pPr>
        <w:rPr>
          <w:color w:val="00B050"/>
        </w:rPr>
      </w:pPr>
      <w:r>
        <w:rPr>
          <w:color w:val="00B050"/>
        </w:rPr>
        <w:t>representativo.</w:t>
      </w:r>
    </w:p>
    <w:p w:rsidR="001D0343" w:rsidRDefault="001D0343">
      <w:pPr>
        <w:rPr>
          <w:color w:val="00B050"/>
        </w:rPr>
      </w:pPr>
    </w:p>
    <w:p w:rsidR="001D0343" w:rsidRDefault="00C767FB">
      <w:pPr>
        <w:autoSpaceDE w:val="0"/>
        <w:rPr>
          <w:color w:val="00B050"/>
        </w:rPr>
      </w:pPr>
      <w:r>
        <w:rPr>
          <w:color w:val="00B050"/>
        </w:rPr>
        <w:t>§ 3o Os resultados do monitoramento deverão ser analisados estatisticamente e as</w:t>
      </w:r>
    </w:p>
    <w:p w:rsidR="001D0343" w:rsidRDefault="00C767FB">
      <w:pPr>
        <w:rPr>
          <w:color w:val="00B050"/>
        </w:rPr>
      </w:pPr>
      <w:r>
        <w:rPr>
          <w:color w:val="00B050"/>
        </w:rPr>
        <w:t>incertezas de medição consideradas.</w:t>
      </w:r>
    </w:p>
    <w:p w:rsidR="001D0343" w:rsidRDefault="001D0343">
      <w:pPr>
        <w:rPr>
          <w:color w:val="00B050"/>
        </w:rPr>
      </w:pPr>
    </w:p>
    <w:p w:rsidR="001D0343" w:rsidRDefault="00C767FB">
      <w:pPr>
        <w:autoSpaceDE w:val="0"/>
        <w:rPr>
          <w:color w:val="00B050"/>
        </w:rPr>
      </w:pPr>
      <w:r>
        <w:rPr>
          <w:color w:val="00B050"/>
        </w:rPr>
        <w:lastRenderedPageBreak/>
        <w:t>Art. 16. As amostragens e análises das águas subterrâneas deverão ser realizadas por</w:t>
      </w:r>
    </w:p>
    <w:p w:rsidR="001D0343" w:rsidRDefault="00C767FB">
      <w:pPr>
        <w:autoSpaceDE w:val="0"/>
        <w:rPr>
          <w:color w:val="00B050"/>
        </w:rPr>
      </w:pPr>
      <w:r>
        <w:rPr>
          <w:color w:val="00B050"/>
        </w:rPr>
        <w:t>laboratórios ou instituições que possuam critérios e procedimentos de qualidade aceitos</w:t>
      </w:r>
    </w:p>
    <w:p w:rsidR="001D0343" w:rsidRDefault="00C767FB">
      <w:pPr>
        <w:rPr>
          <w:color w:val="00B050"/>
        </w:rPr>
      </w:pPr>
      <w:r>
        <w:rPr>
          <w:color w:val="00B050"/>
        </w:rPr>
        <w:t>pelos órgãos responsáveis pelo monitoramento.</w:t>
      </w:r>
    </w:p>
    <w:p w:rsidR="001D0343" w:rsidRDefault="001D0343">
      <w:pPr>
        <w:rPr>
          <w:color w:val="00B050"/>
        </w:rPr>
      </w:pPr>
    </w:p>
    <w:p w:rsidR="001D0343" w:rsidRDefault="00C767FB">
      <w:pPr>
        <w:autoSpaceDE w:val="0"/>
        <w:rPr>
          <w:color w:val="00B050"/>
        </w:rPr>
      </w:pPr>
      <w:r>
        <w:rPr>
          <w:color w:val="00B050"/>
        </w:rPr>
        <w:t>Art. 17. Para atendimento desta Resolução, as amostragens, as análises e o controle de</w:t>
      </w:r>
    </w:p>
    <w:p w:rsidR="001D0343" w:rsidRDefault="00C767FB">
      <w:pPr>
        <w:autoSpaceDE w:val="0"/>
        <w:rPr>
          <w:color w:val="00B050"/>
        </w:rPr>
      </w:pPr>
      <w:r>
        <w:rPr>
          <w:color w:val="00B050"/>
        </w:rPr>
        <w:t>qualidade para caracterização e monitoramento das águas subterrâneas deverão adotar</w:t>
      </w:r>
    </w:p>
    <w:p w:rsidR="001D0343" w:rsidRDefault="00C767FB">
      <w:pPr>
        <w:autoSpaceDE w:val="0"/>
        <w:rPr>
          <w:color w:val="00B050"/>
        </w:rPr>
      </w:pPr>
      <w:r>
        <w:rPr>
          <w:color w:val="00B050"/>
        </w:rPr>
        <w:t>os seguintes procedimentos mínimos:</w:t>
      </w:r>
    </w:p>
    <w:p w:rsidR="001D0343" w:rsidRDefault="00C767FB">
      <w:pPr>
        <w:autoSpaceDE w:val="0"/>
        <w:rPr>
          <w:color w:val="00B050"/>
        </w:rPr>
      </w:pPr>
      <w:r>
        <w:rPr>
          <w:color w:val="00B050"/>
        </w:rPr>
        <w:t>I - as amostras de água subterrânea deverão ser coletadas utilizando métodos</w:t>
      </w:r>
    </w:p>
    <w:p w:rsidR="001D0343" w:rsidRDefault="00C767FB">
      <w:pPr>
        <w:autoSpaceDE w:val="0"/>
        <w:rPr>
          <w:color w:val="00B050"/>
        </w:rPr>
      </w:pPr>
      <w:r>
        <w:rPr>
          <w:color w:val="00B050"/>
        </w:rPr>
        <w:t>padronizados em pontos de amostragem que sejam representativos da área de</w:t>
      </w:r>
    </w:p>
    <w:p w:rsidR="001D0343" w:rsidRDefault="00C767FB">
      <w:pPr>
        <w:autoSpaceDE w:val="0"/>
        <w:rPr>
          <w:color w:val="00B050"/>
        </w:rPr>
      </w:pPr>
      <w:r>
        <w:rPr>
          <w:color w:val="00B050"/>
        </w:rPr>
        <w:t>interesse;</w:t>
      </w:r>
    </w:p>
    <w:p w:rsidR="001D0343" w:rsidRDefault="00C767FB">
      <w:pPr>
        <w:autoSpaceDE w:val="0"/>
        <w:rPr>
          <w:color w:val="00B050"/>
        </w:rPr>
      </w:pPr>
      <w:r>
        <w:rPr>
          <w:color w:val="00B050"/>
        </w:rPr>
        <w:t>II - no caso da amostragem ser realizada em poços tubulares e de monitoramento,</w:t>
      </w:r>
    </w:p>
    <w:p w:rsidR="001D0343" w:rsidRDefault="00C767FB">
      <w:pPr>
        <w:rPr>
          <w:color w:val="00B050"/>
        </w:rPr>
      </w:pPr>
      <w:r>
        <w:rPr>
          <w:color w:val="00B050"/>
        </w:rPr>
        <w:t>estes deverão ser construídos de acordo com as normas técnicas vigentes;</w:t>
      </w:r>
    </w:p>
    <w:p w:rsidR="001D0343" w:rsidRDefault="00C767FB">
      <w:pPr>
        <w:autoSpaceDE w:val="0"/>
        <w:rPr>
          <w:color w:val="00B050"/>
        </w:rPr>
      </w:pPr>
      <w:r>
        <w:rPr>
          <w:color w:val="00B050"/>
        </w:rPr>
        <w:t>III - as análises deverão ser realizadas em amostras íntegras, sem filtração ou qualquer</w:t>
      </w:r>
    </w:p>
    <w:p w:rsidR="001D0343" w:rsidRDefault="00C767FB">
      <w:pPr>
        <w:autoSpaceDE w:val="0"/>
        <w:rPr>
          <w:color w:val="00B050"/>
        </w:rPr>
      </w:pPr>
      <w:r>
        <w:rPr>
          <w:color w:val="00B050"/>
        </w:rPr>
        <w:t xml:space="preserve">outra alteração, a não ser o uso de </w:t>
      </w:r>
      <w:proofErr w:type="spellStart"/>
      <w:r>
        <w:rPr>
          <w:color w:val="00B050"/>
        </w:rPr>
        <w:t>preservantes</w:t>
      </w:r>
      <w:proofErr w:type="spellEnd"/>
      <w:r>
        <w:rPr>
          <w:color w:val="00B050"/>
        </w:rPr>
        <w:t xml:space="preserve"> que, quando necessários, deverão seguir</w:t>
      </w:r>
    </w:p>
    <w:p w:rsidR="001D0343" w:rsidRDefault="00C767FB">
      <w:pPr>
        <w:autoSpaceDE w:val="0"/>
        <w:rPr>
          <w:color w:val="00B050"/>
        </w:rPr>
      </w:pPr>
      <w:r>
        <w:rPr>
          <w:color w:val="00B050"/>
        </w:rPr>
        <w:t>as normas técnicas vigentes;</w:t>
      </w:r>
    </w:p>
    <w:p w:rsidR="001D0343" w:rsidRDefault="00C767FB">
      <w:pPr>
        <w:autoSpaceDE w:val="0"/>
        <w:rPr>
          <w:color w:val="00B050"/>
        </w:rPr>
      </w:pPr>
      <w:r>
        <w:rPr>
          <w:color w:val="00B050"/>
        </w:rPr>
        <w:t>IV - as análises mencionadas no inciso III, quando tecnicamente justificado, deverão</w:t>
      </w:r>
    </w:p>
    <w:p w:rsidR="001D0343" w:rsidRDefault="00C767FB">
      <w:pPr>
        <w:autoSpaceDE w:val="0"/>
        <w:rPr>
          <w:color w:val="00B050"/>
        </w:rPr>
      </w:pPr>
      <w:r>
        <w:rPr>
          <w:color w:val="00B050"/>
        </w:rPr>
        <w:t>também ser realizadas na fração dissolvida;</w:t>
      </w:r>
    </w:p>
    <w:p w:rsidR="001D0343" w:rsidRDefault="00C767FB">
      <w:pPr>
        <w:autoSpaceDE w:val="0"/>
        <w:rPr>
          <w:color w:val="00B050"/>
        </w:rPr>
      </w:pPr>
      <w:r>
        <w:rPr>
          <w:color w:val="00B050"/>
        </w:rPr>
        <w:t>V - as análises físico-químicas deverão ser realizadas utilizando-se métodos</w:t>
      </w:r>
    </w:p>
    <w:p w:rsidR="001D0343" w:rsidRDefault="00C767FB">
      <w:pPr>
        <w:autoSpaceDE w:val="0"/>
        <w:rPr>
          <w:color w:val="00B050"/>
        </w:rPr>
      </w:pPr>
      <w:r>
        <w:rPr>
          <w:color w:val="00B050"/>
        </w:rPr>
        <w:t>padronizados, em laboratórios que atendam aos limites de quantificação praticáveis,</w:t>
      </w:r>
    </w:p>
    <w:p w:rsidR="001D0343" w:rsidRDefault="00C767FB">
      <w:pPr>
        <w:autoSpaceDE w:val="0"/>
        <w:rPr>
          <w:color w:val="00B050"/>
        </w:rPr>
      </w:pPr>
      <w:r>
        <w:rPr>
          <w:color w:val="00B050"/>
        </w:rPr>
        <w:t>listados no Anexo I desta Resolução;</w:t>
      </w:r>
    </w:p>
    <w:p w:rsidR="001D0343" w:rsidRDefault="00C767FB">
      <w:pPr>
        <w:autoSpaceDE w:val="0"/>
        <w:rPr>
          <w:color w:val="00B050"/>
        </w:rPr>
      </w:pPr>
      <w:r>
        <w:rPr>
          <w:color w:val="00B050"/>
        </w:rPr>
        <w:t>VI - no caso de uma substância ocorrer em concentrações abaixo dos limites de</w:t>
      </w:r>
    </w:p>
    <w:p w:rsidR="001D0343" w:rsidRDefault="00C767FB">
      <w:pPr>
        <w:autoSpaceDE w:val="0"/>
        <w:rPr>
          <w:color w:val="00B050"/>
        </w:rPr>
      </w:pPr>
      <w:r>
        <w:rPr>
          <w:color w:val="00B050"/>
        </w:rPr>
        <w:t xml:space="preserve">quantificação </w:t>
      </w:r>
      <w:proofErr w:type="spellStart"/>
      <w:r>
        <w:rPr>
          <w:color w:val="00B050"/>
        </w:rPr>
        <w:t>praticável-LQP</w:t>
      </w:r>
      <w:proofErr w:type="spellEnd"/>
      <w:r>
        <w:rPr>
          <w:color w:val="00B050"/>
        </w:rPr>
        <w:t>, aceitar-se-á o resultado como ausente para fins de</w:t>
      </w:r>
    </w:p>
    <w:p w:rsidR="001D0343" w:rsidRDefault="00C767FB">
      <w:pPr>
        <w:autoSpaceDE w:val="0"/>
        <w:rPr>
          <w:color w:val="00B050"/>
        </w:rPr>
      </w:pPr>
      <w:r>
        <w:rPr>
          <w:color w:val="00B050"/>
        </w:rPr>
        <w:t>atendimento desta Resolução;</w:t>
      </w:r>
    </w:p>
    <w:p w:rsidR="001D0343" w:rsidRDefault="00C767FB">
      <w:pPr>
        <w:autoSpaceDE w:val="0"/>
        <w:rPr>
          <w:color w:val="00B050"/>
        </w:rPr>
      </w:pPr>
      <w:r>
        <w:rPr>
          <w:color w:val="00B050"/>
        </w:rPr>
        <w:t xml:space="preserve">VII - no caso do limite de quantificação da </w:t>
      </w:r>
      <w:proofErr w:type="spellStart"/>
      <w:r>
        <w:rPr>
          <w:color w:val="00B050"/>
        </w:rPr>
        <w:t>amostra-LQA</w:t>
      </w:r>
      <w:proofErr w:type="spellEnd"/>
      <w:r>
        <w:rPr>
          <w:color w:val="00B050"/>
        </w:rPr>
        <w:t xml:space="preserve"> ser maior do que o limite de</w:t>
      </w:r>
    </w:p>
    <w:p w:rsidR="001D0343" w:rsidRDefault="00C767FB">
      <w:pPr>
        <w:autoSpaceDE w:val="0"/>
        <w:rPr>
          <w:color w:val="00B050"/>
        </w:rPr>
      </w:pPr>
      <w:r>
        <w:rPr>
          <w:color w:val="00B050"/>
        </w:rPr>
        <w:t xml:space="preserve">quantificação </w:t>
      </w:r>
      <w:proofErr w:type="spellStart"/>
      <w:r>
        <w:rPr>
          <w:color w:val="00B050"/>
        </w:rPr>
        <w:t>praticável-LQP</w:t>
      </w:r>
      <w:proofErr w:type="spellEnd"/>
      <w:r>
        <w:rPr>
          <w:color w:val="00B050"/>
        </w:rPr>
        <w:t>, este também será aceito para atendimento desta Resolução,</w:t>
      </w:r>
    </w:p>
    <w:p w:rsidR="001D0343" w:rsidRDefault="00C767FB">
      <w:pPr>
        <w:autoSpaceDE w:val="0"/>
        <w:rPr>
          <w:color w:val="00B050"/>
        </w:rPr>
      </w:pPr>
      <w:r>
        <w:rPr>
          <w:color w:val="00B050"/>
        </w:rPr>
        <w:t>desde que tecnicamente justificado; e</w:t>
      </w:r>
    </w:p>
    <w:p w:rsidR="001D0343" w:rsidRDefault="00C767FB">
      <w:pPr>
        <w:autoSpaceDE w:val="0"/>
        <w:rPr>
          <w:color w:val="00B050"/>
        </w:rPr>
      </w:pPr>
      <w:r>
        <w:rPr>
          <w:color w:val="00B050"/>
        </w:rPr>
        <w:t>VIII - no caso de a substância ser identificada na amostra entre o LDM e o LQA, o fato</w:t>
      </w:r>
    </w:p>
    <w:p w:rsidR="001D0343" w:rsidRDefault="00C767FB">
      <w:pPr>
        <w:autoSpaceDE w:val="0"/>
        <w:rPr>
          <w:color w:val="00B050"/>
        </w:rPr>
      </w:pPr>
      <w:r>
        <w:rPr>
          <w:color w:val="00B050"/>
        </w:rPr>
        <w:t>deverá ser reportado no laudo analítico com a nota de que a concentração não pode ser</w:t>
      </w:r>
    </w:p>
    <w:p w:rsidR="001D0343" w:rsidRDefault="00C767FB">
      <w:pPr>
        <w:autoSpaceDE w:val="0"/>
        <w:rPr>
          <w:color w:val="00B050"/>
        </w:rPr>
      </w:pPr>
      <w:r>
        <w:rPr>
          <w:color w:val="00B050"/>
        </w:rPr>
        <w:t>determinada com confiabilidade, não se configurando, neste caso, não conformidade em</w:t>
      </w:r>
    </w:p>
    <w:p w:rsidR="001D0343" w:rsidRDefault="00C767FB">
      <w:pPr>
        <w:rPr>
          <w:color w:val="00B050"/>
        </w:rPr>
      </w:pPr>
      <w:r>
        <w:rPr>
          <w:color w:val="00B050"/>
        </w:rPr>
        <w:t xml:space="preserve">relação aos </w:t>
      </w:r>
      <w:proofErr w:type="spellStart"/>
      <w:r>
        <w:rPr>
          <w:color w:val="00B050"/>
        </w:rPr>
        <w:t>VMPs</w:t>
      </w:r>
      <w:proofErr w:type="spellEnd"/>
      <w:r>
        <w:rPr>
          <w:color w:val="00B050"/>
        </w:rPr>
        <w:t xml:space="preserve"> definidos para cada classe.</w:t>
      </w:r>
    </w:p>
    <w:p w:rsidR="001D0343" w:rsidRDefault="001D0343">
      <w:pPr>
        <w:rPr>
          <w:color w:val="00B050"/>
        </w:rPr>
      </w:pPr>
    </w:p>
    <w:p w:rsidR="001D0343" w:rsidRDefault="00C767FB">
      <w:pPr>
        <w:autoSpaceDE w:val="0"/>
        <w:rPr>
          <w:color w:val="00B050"/>
        </w:rPr>
      </w:pPr>
      <w:r>
        <w:rPr>
          <w:color w:val="00B050"/>
        </w:rPr>
        <w:t>Art. 25. Nos aqüíferos, conjunto de aqüíferos ou porções desses onde ocorrerem injeção</w:t>
      </w:r>
    </w:p>
    <w:p w:rsidR="001D0343" w:rsidRDefault="00C767FB">
      <w:pPr>
        <w:autoSpaceDE w:val="0"/>
        <w:rPr>
          <w:color w:val="00B050"/>
        </w:rPr>
      </w:pPr>
      <w:r>
        <w:rPr>
          <w:color w:val="00B050"/>
        </w:rPr>
        <w:t xml:space="preserve">ou recarga, conforme especificado nos </w:t>
      </w:r>
      <w:proofErr w:type="spellStart"/>
      <w:r>
        <w:rPr>
          <w:color w:val="00B050"/>
        </w:rPr>
        <w:t>arts</w:t>
      </w:r>
      <w:proofErr w:type="spellEnd"/>
      <w:r>
        <w:rPr>
          <w:color w:val="00B050"/>
        </w:rPr>
        <w:t>. 21 e 22, deverá ser implantado um programa</w:t>
      </w:r>
    </w:p>
    <w:p w:rsidR="001D0343" w:rsidRDefault="00C767FB">
      <w:pPr>
        <w:rPr>
          <w:color w:val="00B050"/>
        </w:rPr>
      </w:pPr>
      <w:r>
        <w:rPr>
          <w:color w:val="00B050"/>
        </w:rPr>
        <w:t>específico de monitoramento da qualidade da água subterrânea.</w:t>
      </w:r>
    </w:p>
    <w:p w:rsidR="001D0343" w:rsidRDefault="001D0343">
      <w:pPr>
        <w:rPr>
          <w:color w:val="00B050"/>
        </w:rPr>
      </w:pPr>
    </w:p>
    <w:p w:rsidR="001D0343" w:rsidRDefault="00C767FB">
      <w:pPr>
        <w:autoSpaceDE w:val="0"/>
        <w:rPr>
          <w:color w:val="00B050"/>
        </w:rPr>
      </w:pPr>
      <w:r>
        <w:rPr>
          <w:color w:val="00B050"/>
        </w:rPr>
        <w:t>Art. 26. Nos aqüíferos, conjunto de aqüíferos ou porção desses, em que as águas</w:t>
      </w:r>
    </w:p>
    <w:p w:rsidR="001D0343" w:rsidRDefault="00C767FB">
      <w:pPr>
        <w:autoSpaceDE w:val="0"/>
        <w:rPr>
          <w:color w:val="00B050"/>
        </w:rPr>
      </w:pPr>
      <w:r>
        <w:rPr>
          <w:color w:val="00B050"/>
        </w:rPr>
        <w:t>subterrâneas estão enquadradas em Classe 5, poderá ser admitida a injeção direta,</w:t>
      </w:r>
    </w:p>
    <w:p w:rsidR="001D0343" w:rsidRDefault="00C767FB">
      <w:pPr>
        <w:autoSpaceDE w:val="0"/>
        <w:rPr>
          <w:color w:val="00B050"/>
        </w:rPr>
      </w:pPr>
      <w:r>
        <w:rPr>
          <w:color w:val="00B050"/>
        </w:rPr>
        <w:t xml:space="preserve">mediante controle dos órgãos competentes, com base em estudos </w:t>
      </w:r>
      <w:proofErr w:type="spellStart"/>
      <w:r>
        <w:rPr>
          <w:color w:val="00B050"/>
        </w:rPr>
        <w:t>hidrogeológicos</w:t>
      </w:r>
      <w:proofErr w:type="spellEnd"/>
    </w:p>
    <w:p w:rsidR="001D0343" w:rsidRDefault="00C767FB">
      <w:pPr>
        <w:autoSpaceDE w:val="0"/>
        <w:rPr>
          <w:color w:val="00B050"/>
        </w:rPr>
      </w:pPr>
      <w:r>
        <w:rPr>
          <w:color w:val="00B050"/>
        </w:rPr>
        <w:t>apresentados pelo interessado, demonstrando que a injeção não provocará alteração da</w:t>
      </w:r>
    </w:p>
    <w:p w:rsidR="001D0343" w:rsidRDefault="00C767FB">
      <w:pPr>
        <w:autoSpaceDE w:val="0"/>
        <w:rPr>
          <w:color w:val="00B050"/>
        </w:rPr>
      </w:pPr>
      <w:r>
        <w:rPr>
          <w:color w:val="00B050"/>
        </w:rPr>
        <w:t>condição de qualidade em relação ao enquadramento das águas subterrâneas adjacentes,</w:t>
      </w:r>
    </w:p>
    <w:p w:rsidR="001D0343" w:rsidRDefault="00C767FB">
      <w:pPr>
        <w:rPr>
          <w:color w:val="00B050"/>
        </w:rPr>
      </w:pPr>
      <w:r>
        <w:rPr>
          <w:color w:val="00B050"/>
        </w:rPr>
        <w:t>sobrejacentes e subjacentes, por meio de monitoramento.</w:t>
      </w:r>
    </w:p>
    <w:p w:rsidR="001D0343" w:rsidRDefault="001D0343">
      <w:pPr>
        <w:rPr>
          <w:color w:val="00B050"/>
        </w:rPr>
      </w:pPr>
    </w:p>
    <w:p w:rsidR="001D0343" w:rsidRDefault="00C767FB">
      <w:pPr>
        <w:autoSpaceDE w:val="0"/>
        <w:rPr>
          <w:color w:val="00B050"/>
        </w:rPr>
      </w:pPr>
      <w:r>
        <w:rPr>
          <w:color w:val="00B050"/>
        </w:rPr>
        <w:t>Art. 27. A aplicação e disposição de efluentes e de resíduos no solo deverão observar</w:t>
      </w:r>
    </w:p>
    <w:p w:rsidR="001D0343" w:rsidRDefault="00C767FB">
      <w:pPr>
        <w:autoSpaceDE w:val="0"/>
        <w:rPr>
          <w:color w:val="00B050"/>
        </w:rPr>
      </w:pPr>
      <w:r>
        <w:rPr>
          <w:color w:val="00B050"/>
        </w:rPr>
        <w:t>os critérios e exigências definidos pelos órgãos competentes e não poderão conferir às</w:t>
      </w:r>
    </w:p>
    <w:p w:rsidR="001D0343" w:rsidRDefault="00C767FB">
      <w:pPr>
        <w:autoSpaceDE w:val="0"/>
        <w:rPr>
          <w:color w:val="00B050"/>
        </w:rPr>
      </w:pPr>
      <w:r>
        <w:rPr>
          <w:color w:val="00B050"/>
        </w:rPr>
        <w:t>águas subterrâneas características em desacordo com o seu enquadramento.</w:t>
      </w:r>
    </w:p>
    <w:p w:rsidR="001D0343" w:rsidRDefault="00C767FB">
      <w:pPr>
        <w:autoSpaceDE w:val="0"/>
        <w:rPr>
          <w:color w:val="00B050"/>
        </w:rPr>
      </w:pPr>
      <w:r>
        <w:rPr>
          <w:color w:val="00B050"/>
        </w:rPr>
        <w:t>§ 2o A aplicação e a disposição serão precedidas de plano específico e programa</w:t>
      </w:r>
    </w:p>
    <w:p w:rsidR="001D0343" w:rsidRDefault="00C767FB">
      <w:pPr>
        <w:autoSpaceDE w:val="0"/>
        <w:rPr>
          <w:color w:val="00B050"/>
        </w:rPr>
      </w:pPr>
      <w:r>
        <w:rPr>
          <w:color w:val="00B050"/>
        </w:rPr>
        <w:t>de monitoramento da qualidade da água subterrânea a serem aprovados pelo órgão</w:t>
      </w:r>
    </w:p>
    <w:p w:rsidR="001D0343" w:rsidRDefault="00C767FB">
      <w:pPr>
        <w:rPr>
          <w:color w:val="00B050"/>
        </w:rPr>
      </w:pPr>
      <w:r>
        <w:rPr>
          <w:color w:val="00B050"/>
        </w:rPr>
        <w:t>competente.</w:t>
      </w:r>
    </w:p>
    <w:p w:rsidR="001D0343" w:rsidRDefault="001D0343">
      <w:pPr>
        <w:rPr>
          <w:color w:val="00B050"/>
        </w:rPr>
      </w:pPr>
    </w:p>
    <w:p w:rsidR="001D0343" w:rsidRDefault="00C767FB">
      <w:pPr>
        <w:autoSpaceDE w:val="0"/>
        <w:rPr>
          <w:color w:val="00B050"/>
        </w:rPr>
      </w:pPr>
      <w:r>
        <w:rPr>
          <w:color w:val="00B050"/>
        </w:rPr>
        <w:t>Art. 33. A classe de enquadramento das águas subterrâneas, bem como sua condição</w:t>
      </w:r>
    </w:p>
    <w:p w:rsidR="001D0343" w:rsidRDefault="00C767FB">
      <w:pPr>
        <w:autoSpaceDE w:val="0"/>
        <w:rPr>
          <w:color w:val="00B050"/>
        </w:rPr>
      </w:pPr>
      <w:r>
        <w:rPr>
          <w:color w:val="00B050"/>
        </w:rPr>
        <w:t>de qualidade, deverão ser divulgadas, periodicamente, pelos órgãos competentes por meio</w:t>
      </w:r>
    </w:p>
    <w:p w:rsidR="001D0343" w:rsidRDefault="00C767FB">
      <w:pPr>
        <w:rPr>
          <w:color w:val="00B050"/>
        </w:rPr>
      </w:pPr>
      <w:r>
        <w:rPr>
          <w:color w:val="00B050"/>
        </w:rPr>
        <w:t>de relatórios de qualidade e placas de sinalização nos locais de monitoramento.</w:t>
      </w:r>
    </w:p>
    <w:p w:rsidR="001D0343" w:rsidRDefault="001D0343">
      <w:pPr>
        <w:rPr>
          <w:color w:val="00B050"/>
        </w:rPr>
      </w:pPr>
    </w:p>
    <w:p w:rsidR="001D0343" w:rsidRDefault="001D0343">
      <w:pPr>
        <w:rPr>
          <w:color w:val="00B050"/>
        </w:rPr>
      </w:pPr>
    </w:p>
    <w:p w:rsidR="001D0343" w:rsidRDefault="00C767FB">
      <w:pPr>
        <w:autoSpaceDE w:val="0"/>
        <w:rPr>
          <w:b/>
          <w:color w:val="00B050"/>
        </w:rPr>
      </w:pPr>
      <w:r>
        <w:rPr>
          <w:b/>
          <w:color w:val="00B050"/>
          <w:shd w:val="clear" w:color="auto" w:fill="00FFFF"/>
        </w:rPr>
        <w:t>PROPOSTA DE RESOLUÇÃO CONAMA –</w:t>
      </w:r>
      <w:r>
        <w:rPr>
          <w:b/>
          <w:color w:val="00B050"/>
        </w:rPr>
        <w:t xml:space="preserve"> </w:t>
      </w:r>
    </w:p>
    <w:p w:rsidR="001D0343" w:rsidRDefault="00C767FB">
      <w:pPr>
        <w:autoSpaceDE w:val="0"/>
        <w:rPr>
          <w:b/>
          <w:color w:val="00B050"/>
        </w:rPr>
      </w:pPr>
      <w:r>
        <w:rPr>
          <w:b/>
          <w:color w:val="00B050"/>
        </w:rPr>
        <w:t>Minuta de resolução CONAMA, que dispõe sobre o estabelecimento de critérios e valores orientadores referentes à presença de substâncias químicas, para a proteção da qualidade do solo e sobre diretrizes e procedimentos para o gerenciamento de áreas contaminadas</w:t>
      </w:r>
    </w:p>
    <w:p w:rsidR="001D0343" w:rsidRDefault="001D0343">
      <w:pPr>
        <w:autoSpaceDE w:val="0"/>
        <w:rPr>
          <w:color w:val="00B050"/>
        </w:rPr>
      </w:pPr>
    </w:p>
    <w:p w:rsidR="001D0343" w:rsidRDefault="00C767FB">
      <w:pPr>
        <w:autoSpaceDE w:val="0"/>
        <w:rPr>
          <w:b/>
          <w:color w:val="00B050"/>
        </w:rPr>
      </w:pPr>
      <w:r>
        <w:rPr>
          <w:b/>
          <w:color w:val="00B050"/>
        </w:rPr>
        <w:t xml:space="preserve">Art. 5° </w:t>
      </w:r>
    </w:p>
    <w:p w:rsidR="001D0343" w:rsidRDefault="00C767FB">
      <w:pPr>
        <w:autoSpaceDE w:val="0"/>
        <w:rPr>
          <w:color w:val="00B050"/>
        </w:rPr>
      </w:pPr>
      <w:r>
        <w:rPr>
          <w:color w:val="00B050"/>
        </w:rPr>
        <w:t>XIII - Monitoramento: medição ou verificação, que pode ser contínua ou periódica, para acompanhamento da condição de qualidade de um meio ou das suas características;</w:t>
      </w:r>
    </w:p>
    <w:p w:rsidR="001D0343" w:rsidRDefault="001D0343">
      <w:pPr>
        <w:autoSpaceDE w:val="0"/>
        <w:rPr>
          <w:color w:val="00B050"/>
        </w:rPr>
      </w:pPr>
    </w:p>
    <w:p w:rsidR="001D0343" w:rsidRDefault="00C767FB">
      <w:pPr>
        <w:autoSpaceDE w:val="0"/>
        <w:rPr>
          <w:b/>
          <w:bCs/>
          <w:color w:val="00B050"/>
        </w:rPr>
      </w:pPr>
      <w:r>
        <w:rPr>
          <w:b/>
          <w:bCs/>
          <w:color w:val="00B050"/>
        </w:rPr>
        <w:t xml:space="preserve">Art. 13. </w:t>
      </w:r>
    </w:p>
    <w:p w:rsidR="001D0343" w:rsidRDefault="00C767FB">
      <w:pPr>
        <w:autoSpaceDE w:val="0"/>
        <w:rPr>
          <w:color w:val="00B050"/>
        </w:rPr>
      </w:pPr>
      <w:r>
        <w:rPr>
          <w:color w:val="00B050"/>
        </w:rPr>
        <w:t>Com vistas à prevenção e controle da qualidade do solo, os empreendimentos que desenvolvem atividades com potencial de contaminação dos solos e águas subterrâneas deverão, a critério do órgão ambiental competente:</w:t>
      </w:r>
    </w:p>
    <w:p w:rsidR="001D0343" w:rsidRDefault="00C767FB">
      <w:pPr>
        <w:autoSpaceDE w:val="0"/>
        <w:rPr>
          <w:color w:val="00B050"/>
        </w:rPr>
      </w:pPr>
      <w:r>
        <w:rPr>
          <w:color w:val="00B050"/>
        </w:rPr>
        <w:t>I - implantar programa de monitoramento de qualidade do solo e das águas subterrâneas na área do empreendimento e, quando necessário, na sua área de influência direta e nas águas superficiais;</w:t>
      </w:r>
    </w:p>
    <w:p w:rsidR="001D0343" w:rsidRDefault="00C767FB">
      <w:pPr>
        <w:autoSpaceDE w:val="0"/>
        <w:rPr>
          <w:color w:val="00B050"/>
        </w:rPr>
      </w:pPr>
      <w:r>
        <w:rPr>
          <w:color w:val="00B050"/>
        </w:rPr>
        <w:t>II - apresentar relatório técnico conclusivo sobre a qualidade do solo e das águas subterrâneas, a cada solicitação de renovação de licença e previamente ao encerramento das atividades.</w:t>
      </w:r>
    </w:p>
    <w:p w:rsidR="001D0343" w:rsidRDefault="001D0343">
      <w:pPr>
        <w:autoSpaceDE w:val="0"/>
        <w:rPr>
          <w:color w:val="00B050"/>
        </w:rPr>
      </w:pPr>
    </w:p>
    <w:p w:rsidR="001D0343" w:rsidRDefault="00C767FB">
      <w:pPr>
        <w:autoSpaceDE w:val="0"/>
        <w:rPr>
          <w:color w:val="00B050"/>
        </w:rPr>
      </w:pPr>
      <w:r>
        <w:rPr>
          <w:color w:val="00B050"/>
        </w:rPr>
        <w:t xml:space="preserve">§3º O programa de monitoramento para as águas subterrâneas, bem como o relatório técnico, mencionados nos incisos I e II, deverão ser estabelecidos observadas as ações implementadas no âmbito do Sistema Nacional de Gerenciamento de Recursos </w:t>
      </w:r>
      <w:proofErr w:type="spellStart"/>
      <w:r>
        <w:rPr>
          <w:color w:val="00B050"/>
        </w:rPr>
        <w:t>Hídricos–SINGREH</w:t>
      </w:r>
      <w:proofErr w:type="spellEnd"/>
      <w:r>
        <w:rPr>
          <w:color w:val="00B050"/>
        </w:rPr>
        <w:t>.</w:t>
      </w:r>
    </w:p>
    <w:p w:rsidR="001D0343" w:rsidRDefault="001D0343">
      <w:pPr>
        <w:autoSpaceDE w:val="0"/>
        <w:rPr>
          <w:color w:val="00B050"/>
        </w:rPr>
      </w:pPr>
    </w:p>
    <w:p w:rsidR="001D0343" w:rsidRDefault="00C767FB">
      <w:pPr>
        <w:autoSpaceDE w:val="0"/>
        <w:rPr>
          <w:color w:val="00B050"/>
        </w:rPr>
      </w:pPr>
      <w:r>
        <w:rPr>
          <w:b/>
          <w:bCs/>
          <w:color w:val="00B050"/>
        </w:rPr>
        <w:t xml:space="preserve">Art. 15. </w:t>
      </w:r>
      <w:r>
        <w:rPr>
          <w:color w:val="00B050"/>
        </w:rPr>
        <w:t>Para atendimento desta Resolução nas amostragens, análises e o controle de qualidade para caracterização e monitoramento do solo e das águas subterrâneas deverão ser -se observadas, no mínimo, as seguintes diretrizes:</w:t>
      </w:r>
    </w:p>
    <w:p w:rsidR="001D0343" w:rsidRDefault="00C767FB">
      <w:pPr>
        <w:autoSpaceDE w:val="0"/>
        <w:rPr>
          <w:color w:val="00B050"/>
        </w:rPr>
      </w:pPr>
      <w:r>
        <w:rPr>
          <w:color w:val="00B050"/>
        </w:rPr>
        <w:t>I – adotar procedimentos de coleta, manuseio, preservação, acondicionamento e transporte de amostras de acordo com normas nacionais e internacionais, respeitando-se os prazos de validade;</w:t>
      </w:r>
    </w:p>
    <w:p w:rsidR="001D0343" w:rsidRDefault="00C767FB">
      <w:pPr>
        <w:autoSpaceDE w:val="0"/>
        <w:rPr>
          <w:color w:val="00B050"/>
        </w:rPr>
      </w:pPr>
      <w:r>
        <w:rPr>
          <w:color w:val="00B050"/>
        </w:rPr>
        <w:t>II – realizar as análises físicas, químicas, físico-químicas e biológicas, utilizando-se metodologias que atendam às especificações descritas em normas reconhecidas internacionalmente;</w:t>
      </w:r>
    </w:p>
    <w:p w:rsidR="001D0343" w:rsidRDefault="00C767FB">
      <w:pPr>
        <w:autoSpaceDE w:val="0"/>
        <w:rPr>
          <w:i/>
          <w:iCs/>
          <w:color w:val="00B050"/>
        </w:rPr>
      </w:pPr>
      <w:r>
        <w:rPr>
          <w:i/>
          <w:iCs/>
          <w:color w:val="00B050"/>
        </w:rPr>
        <w:t>Versão SUJA - 51a CTAJ, 7 e 8/5/2009 5</w:t>
      </w:r>
    </w:p>
    <w:p w:rsidR="001D0343" w:rsidRDefault="00C767FB">
      <w:pPr>
        <w:autoSpaceDE w:val="0"/>
        <w:rPr>
          <w:color w:val="00B050"/>
        </w:rPr>
      </w:pPr>
      <w:r>
        <w:rPr>
          <w:color w:val="00B050"/>
        </w:rPr>
        <w:t>III – no caso do limite de quantificação da amostra - LQA ser maior do que o LQP, o LQA será aceito para atendimento desta resolução, desde que tecnicamente justificado; e</w:t>
      </w:r>
    </w:p>
    <w:p w:rsidR="001D0343" w:rsidRDefault="00C767FB">
      <w:pPr>
        <w:autoSpaceDE w:val="0"/>
        <w:rPr>
          <w:color w:val="00B050"/>
        </w:rPr>
      </w:pPr>
      <w:r>
        <w:rPr>
          <w:color w:val="00B050"/>
        </w:rPr>
        <w:t>IV – caso a substância seja identificada na amostra em concentração entre o limite de detecção do método - LDM e o LQA, o fato deverá ser reportado no laudo analítico com a nota de que a concentração não pode ser determinada com confiabilidade.</w:t>
      </w:r>
    </w:p>
    <w:p w:rsidR="001D0343" w:rsidRDefault="001D0343">
      <w:pPr>
        <w:autoSpaceDE w:val="0"/>
        <w:rPr>
          <w:color w:val="00B050"/>
        </w:rPr>
      </w:pPr>
    </w:p>
    <w:p w:rsidR="001D0343" w:rsidRDefault="00C767FB">
      <w:pPr>
        <w:autoSpaceDE w:val="0"/>
        <w:rPr>
          <w:color w:val="00B050"/>
        </w:rPr>
      </w:pPr>
      <w:r>
        <w:rPr>
          <w:b/>
          <w:bCs/>
          <w:color w:val="00B050"/>
        </w:rPr>
        <w:t xml:space="preserve">Art. 17. </w:t>
      </w:r>
      <w:r>
        <w:rPr>
          <w:color w:val="00B050"/>
        </w:rPr>
        <w:t>As análises para caracterização e monitoramento da qualidade do solo e da água subterrânea deverão ser realizadas em laboratórios acreditados pelo Instituto Nacional de Metrologia, Normalização e Qualidade Industrial-Inmetro para os parâmetros de interesse.</w:t>
      </w:r>
    </w:p>
    <w:p w:rsidR="001D0343" w:rsidRDefault="001D0343">
      <w:pPr>
        <w:autoSpaceDE w:val="0"/>
        <w:rPr>
          <w:color w:val="00B050"/>
        </w:rPr>
      </w:pPr>
    </w:p>
    <w:p w:rsidR="001D0343" w:rsidRDefault="00C767FB">
      <w:pPr>
        <w:autoSpaceDE w:val="0"/>
        <w:rPr>
          <w:color w:val="00B050"/>
        </w:rPr>
      </w:pPr>
      <w:r>
        <w:rPr>
          <w:b/>
          <w:bCs/>
          <w:color w:val="00B050"/>
        </w:rPr>
        <w:t xml:space="preserve">Art. 18. </w:t>
      </w:r>
      <w:r>
        <w:rPr>
          <w:color w:val="00B050"/>
        </w:rPr>
        <w:t>Após a classificação do solo deverão ser observados os seguintes procedimentos de prevenção e controle da qualidade do solo:</w:t>
      </w:r>
    </w:p>
    <w:p w:rsidR="001D0343" w:rsidRDefault="00C767FB">
      <w:pPr>
        <w:autoSpaceDE w:val="0"/>
        <w:rPr>
          <w:color w:val="00B050"/>
        </w:rPr>
      </w:pPr>
      <w:r>
        <w:rPr>
          <w:color w:val="00B050"/>
        </w:rPr>
        <w:t>I - Classe 1: não requer ações;II - Classe 2: poderá requerer uma avaliação do órgão ambiental, incluindo a verificação da possibilidade de ocorrência natural da substância ou da existência de fontes de poluição, com indicativos de ações preventivas de controle, quando couber, não envolvendo necessariamente investigação;</w:t>
      </w:r>
    </w:p>
    <w:p w:rsidR="001D0343" w:rsidRDefault="00C767FB">
      <w:pPr>
        <w:autoSpaceDE w:val="0"/>
        <w:rPr>
          <w:color w:val="00B050"/>
        </w:rPr>
      </w:pPr>
      <w:r>
        <w:rPr>
          <w:color w:val="00B050"/>
        </w:rPr>
        <w:t>III - Classe 3: requer identificação da fonte potencial de contaminação, avaliação da ocorrência natural da substância, controle das fontes de contaminação e monitoramento da qualidade do solo e da água subterrânea;</w:t>
      </w:r>
    </w:p>
    <w:p w:rsidR="001D0343" w:rsidRDefault="001D0343">
      <w:pPr>
        <w:rPr>
          <w:color w:val="00B050"/>
        </w:rPr>
      </w:pPr>
    </w:p>
    <w:p w:rsidR="001D0343" w:rsidRDefault="001D0343">
      <w:pPr>
        <w:rPr>
          <w:color w:val="00B050"/>
        </w:rPr>
      </w:pPr>
    </w:p>
    <w:p w:rsidR="001D0343" w:rsidRDefault="00C767FB">
      <w:pPr>
        <w:autoSpaceDE w:val="0"/>
        <w:rPr>
          <w:b/>
          <w:color w:val="00B050"/>
        </w:rPr>
      </w:pPr>
      <w:r>
        <w:rPr>
          <w:b/>
          <w:color w:val="00B050"/>
          <w:shd w:val="clear" w:color="auto" w:fill="00FFFF"/>
        </w:rPr>
        <w:t>PROPOSTA DE RESOLUÇÃO CONAMA –</w:t>
      </w:r>
      <w:r>
        <w:rPr>
          <w:b/>
          <w:color w:val="00B050"/>
        </w:rPr>
        <w:t xml:space="preserve"> </w:t>
      </w:r>
    </w:p>
    <w:p w:rsidR="001D0343" w:rsidRDefault="00C767FB">
      <w:pPr>
        <w:autoSpaceDE w:val="0"/>
        <w:rPr>
          <w:b/>
          <w:bCs/>
          <w:color w:val="00B050"/>
        </w:rPr>
      </w:pPr>
      <w:r>
        <w:rPr>
          <w:b/>
          <w:bCs/>
          <w:color w:val="00B050"/>
        </w:rPr>
        <w:t>VERSÃO COM EMENDAS</w:t>
      </w:r>
    </w:p>
    <w:p w:rsidR="001D0343" w:rsidRDefault="00C767FB">
      <w:pPr>
        <w:autoSpaceDE w:val="0"/>
        <w:rPr>
          <w:b/>
          <w:iCs/>
          <w:color w:val="00B050"/>
        </w:rPr>
      </w:pPr>
      <w:r>
        <w:rPr>
          <w:b/>
          <w:iCs/>
          <w:color w:val="00B050"/>
        </w:rPr>
        <w:t xml:space="preserve">Dispõe sobre critérios e valores orientadores de qualidade do solo quanto à presença de substâncias químicas e estabelece diretrizes para o gerenciamento ambiental de áreas contaminadas por essas substâncias em decorrência de atividades </w:t>
      </w:r>
      <w:proofErr w:type="spellStart"/>
      <w:r>
        <w:rPr>
          <w:b/>
          <w:iCs/>
          <w:color w:val="00B050"/>
        </w:rPr>
        <w:t>antrópicas</w:t>
      </w:r>
      <w:proofErr w:type="spellEnd"/>
      <w:r>
        <w:rPr>
          <w:b/>
          <w:iCs/>
          <w:color w:val="00B050"/>
        </w:rPr>
        <w:t>.</w:t>
      </w:r>
    </w:p>
    <w:p w:rsidR="001D0343" w:rsidRDefault="001D0343">
      <w:pPr>
        <w:rPr>
          <w:color w:val="00B050"/>
        </w:rPr>
      </w:pPr>
    </w:p>
    <w:p w:rsidR="001D0343" w:rsidRDefault="00C767FB">
      <w:pPr>
        <w:autoSpaceDE w:val="0"/>
        <w:rPr>
          <w:color w:val="00B050"/>
        </w:rPr>
      </w:pPr>
      <w:r>
        <w:rPr>
          <w:b/>
          <w:bCs/>
          <w:color w:val="00B050"/>
        </w:rPr>
        <w:t xml:space="preserve">Art. 5º </w:t>
      </w:r>
      <w:r>
        <w:rPr>
          <w:color w:val="00B050"/>
        </w:rPr>
        <w:t>Para efeito desta Resolução são adotados os seguintes termos e definições:</w:t>
      </w:r>
    </w:p>
    <w:p w:rsidR="001D0343" w:rsidRDefault="001D0343">
      <w:pPr>
        <w:autoSpaceDE w:val="0"/>
        <w:rPr>
          <w:color w:val="00B050"/>
        </w:rPr>
      </w:pPr>
    </w:p>
    <w:p w:rsidR="001D0343" w:rsidRDefault="00C767FB">
      <w:pPr>
        <w:autoSpaceDE w:val="0"/>
        <w:rPr>
          <w:color w:val="00B050"/>
        </w:rPr>
      </w:pPr>
      <w:r>
        <w:rPr>
          <w:color w:val="00B050"/>
        </w:rPr>
        <w:t>XIII - Monitoramento: medição ou verificação, que pode ser contínua ou periódica, para acompanhamento da condição de qualidade de um meio ou das suas características;</w:t>
      </w:r>
    </w:p>
    <w:p w:rsidR="001D0343" w:rsidRDefault="001D0343">
      <w:pPr>
        <w:rPr>
          <w:color w:val="00B050"/>
        </w:rPr>
      </w:pPr>
    </w:p>
    <w:p w:rsidR="001D0343" w:rsidRDefault="00C767FB">
      <w:pPr>
        <w:autoSpaceDE w:val="0"/>
        <w:rPr>
          <w:color w:val="00B050"/>
        </w:rPr>
      </w:pPr>
      <w:r>
        <w:rPr>
          <w:b/>
          <w:bCs/>
          <w:color w:val="00B050"/>
        </w:rPr>
        <w:t xml:space="preserve">Art. 13. </w:t>
      </w:r>
      <w:r>
        <w:rPr>
          <w:color w:val="00B050"/>
        </w:rPr>
        <w:t>Com vistas à prevenção e controle da qualidade do solo, os empreendimentos que desenvolvem atividades com potencial de contaminação dos solos e águas subterrâneas deverão, a critério do órgão ambiental competente:</w:t>
      </w:r>
    </w:p>
    <w:p w:rsidR="001D0343" w:rsidRDefault="00C767FB">
      <w:pPr>
        <w:autoSpaceDE w:val="0"/>
        <w:rPr>
          <w:color w:val="00B050"/>
        </w:rPr>
      </w:pPr>
      <w:r>
        <w:rPr>
          <w:color w:val="00B050"/>
        </w:rPr>
        <w:t>I - implantar programa de monitoramento de qualidade do solo e das águas subterrâneas na área do empreendimento e, quando necessário, na sua área de influência direta e nas águas superficiais;</w:t>
      </w:r>
    </w:p>
    <w:p w:rsidR="001D0343" w:rsidRDefault="00C767FB">
      <w:pPr>
        <w:autoSpaceDE w:val="0"/>
        <w:rPr>
          <w:color w:val="00B050"/>
        </w:rPr>
      </w:pPr>
      <w:r>
        <w:rPr>
          <w:color w:val="00B050"/>
        </w:rPr>
        <w:t>II - apresentar relatório técnico conclusivo sobre a qualidade do solo e das águas subterrâneas, a cada solicitação de renovação de licença e previamente ao encerramento das atividades.</w:t>
      </w:r>
    </w:p>
    <w:p w:rsidR="001D0343" w:rsidRDefault="001D0343">
      <w:pPr>
        <w:rPr>
          <w:color w:val="00B050"/>
        </w:rPr>
      </w:pPr>
    </w:p>
    <w:p w:rsidR="001D0343" w:rsidRDefault="00C767FB">
      <w:pPr>
        <w:autoSpaceDE w:val="0"/>
        <w:rPr>
          <w:color w:val="00B050"/>
        </w:rPr>
      </w:pPr>
      <w:r>
        <w:rPr>
          <w:color w:val="00B050"/>
        </w:rPr>
        <w:t xml:space="preserve">§3º O programa de monitoramento para as águas subterrâneas, bem como o relatório técnico, mencionados nos incisos I e II, deverão ser estabelecidos observadas as ações implementadas no âmbito do Sistema  Nacional de Gerenciamento de Recursos </w:t>
      </w:r>
      <w:proofErr w:type="spellStart"/>
      <w:r>
        <w:rPr>
          <w:color w:val="00B050"/>
        </w:rPr>
        <w:t>Hídricos–SINGREH</w:t>
      </w:r>
      <w:proofErr w:type="spellEnd"/>
      <w:r>
        <w:rPr>
          <w:color w:val="00B050"/>
        </w:rPr>
        <w:t>.</w:t>
      </w:r>
    </w:p>
    <w:p w:rsidR="001D0343" w:rsidRDefault="001D0343">
      <w:pPr>
        <w:rPr>
          <w:color w:val="00B050"/>
        </w:rPr>
      </w:pPr>
    </w:p>
    <w:p w:rsidR="001D0343" w:rsidRDefault="001D0343">
      <w:pPr>
        <w:autoSpaceDE w:val="0"/>
        <w:rPr>
          <w:b/>
          <w:bCs/>
          <w:color w:val="00B050"/>
        </w:rPr>
      </w:pPr>
    </w:p>
    <w:p w:rsidR="001D0343" w:rsidRDefault="00C767FB">
      <w:pPr>
        <w:autoSpaceDE w:val="0"/>
        <w:rPr>
          <w:color w:val="00B050"/>
        </w:rPr>
      </w:pPr>
      <w:r>
        <w:rPr>
          <w:b/>
          <w:bCs/>
          <w:color w:val="00B050"/>
        </w:rPr>
        <w:t xml:space="preserve">Art. 15. </w:t>
      </w:r>
      <w:r>
        <w:rPr>
          <w:color w:val="00B050"/>
        </w:rPr>
        <w:t>Para atendimento desta Resolução nas amostragens, análises e o controle de qualidade para caracterização e monitoramento do solo e das águas subterrâneas deverão ser -se observadas, no mínimo, as seguintes diretrizes:</w:t>
      </w:r>
    </w:p>
    <w:p w:rsidR="001D0343" w:rsidRDefault="00C767FB">
      <w:pPr>
        <w:autoSpaceDE w:val="0"/>
        <w:rPr>
          <w:color w:val="00B050"/>
        </w:rPr>
      </w:pPr>
      <w:r>
        <w:rPr>
          <w:color w:val="00B050"/>
        </w:rPr>
        <w:t>I – adotar procedimentos de coleta, manuseio, preservação, acondicionamento e transporte de amostras de acordo com normas nacionais e internacionais, respeitando-se os prazos de validade;</w:t>
      </w:r>
    </w:p>
    <w:p w:rsidR="001D0343" w:rsidRDefault="00C767FB">
      <w:pPr>
        <w:autoSpaceDE w:val="0"/>
        <w:rPr>
          <w:color w:val="00B050"/>
        </w:rPr>
      </w:pPr>
      <w:r>
        <w:rPr>
          <w:color w:val="00B050"/>
        </w:rPr>
        <w:t>II – realizar as análises físicas, químicas, físico-químicas e biológicas, utilizando-se metodologias que atendam às especificações descritas em normas reconhecidas internacionalmente;</w:t>
      </w:r>
    </w:p>
    <w:p w:rsidR="001D0343" w:rsidRDefault="00C767FB">
      <w:pPr>
        <w:autoSpaceDE w:val="0"/>
        <w:rPr>
          <w:i/>
          <w:iCs/>
          <w:color w:val="00B050"/>
        </w:rPr>
      </w:pPr>
      <w:r>
        <w:rPr>
          <w:i/>
          <w:iCs/>
          <w:color w:val="00B050"/>
        </w:rPr>
        <w:t>Versão SUJA - 51a CTAJ, 7 e 8/5/2009 5</w:t>
      </w:r>
    </w:p>
    <w:p w:rsidR="001D0343" w:rsidRDefault="00C767FB">
      <w:pPr>
        <w:autoSpaceDE w:val="0"/>
        <w:rPr>
          <w:color w:val="00B050"/>
        </w:rPr>
      </w:pPr>
      <w:r>
        <w:rPr>
          <w:color w:val="00B050"/>
        </w:rPr>
        <w:t>III – no caso do limite de quantificação da amostra - LQA ser maior do que o LQP, o LQA será aceito para atendimento desta resolução, desde que tecnicamente justificado; e</w:t>
      </w:r>
    </w:p>
    <w:p w:rsidR="001D0343" w:rsidRDefault="00C767FB">
      <w:pPr>
        <w:autoSpaceDE w:val="0"/>
        <w:rPr>
          <w:color w:val="00B050"/>
        </w:rPr>
      </w:pPr>
      <w:r>
        <w:rPr>
          <w:color w:val="00B050"/>
        </w:rPr>
        <w:t>IV – caso a substância seja identificada na amostra em concentração entre o limite de detecção do método - LDM e o LQA, o fato deverá ser reportado no laudo analítico com a nota de que a concentração não pode ser determinada com confiabilidade.</w:t>
      </w:r>
      <w:r>
        <w:rPr>
          <w:b/>
          <w:bCs/>
          <w:color w:val="00B050"/>
        </w:rPr>
        <w:t xml:space="preserve">Art. 17. </w:t>
      </w:r>
      <w:r>
        <w:rPr>
          <w:color w:val="00B050"/>
        </w:rPr>
        <w:t>As análises para caracterização e monitoramento da qualidade do solo e da água subterrânea deverão ser realizadas em laboratórios acreditados pelo Instituto Nacional de Metrologia, Normalização e Qualidade Industrial-Inmetro para os parâmetros de interesse.</w:t>
      </w:r>
    </w:p>
    <w:p w:rsidR="001D0343" w:rsidRDefault="001D0343">
      <w:pPr>
        <w:rPr>
          <w:color w:val="00B050"/>
        </w:rPr>
      </w:pPr>
    </w:p>
    <w:p w:rsidR="001D0343" w:rsidRDefault="00C767FB">
      <w:pPr>
        <w:autoSpaceDE w:val="0"/>
        <w:rPr>
          <w:color w:val="00B050"/>
        </w:rPr>
      </w:pPr>
      <w:r>
        <w:rPr>
          <w:b/>
          <w:bCs/>
          <w:color w:val="00B050"/>
        </w:rPr>
        <w:t xml:space="preserve">Art. 18. </w:t>
      </w:r>
      <w:r>
        <w:rPr>
          <w:color w:val="00B050"/>
        </w:rPr>
        <w:t>Após a classificação do solo deverão ser observados os seguintes procedimentos de prevenção e controle da qualidade do solo:</w:t>
      </w:r>
    </w:p>
    <w:p w:rsidR="001D0343" w:rsidRDefault="00C767FB">
      <w:pPr>
        <w:autoSpaceDE w:val="0"/>
        <w:rPr>
          <w:color w:val="00B050"/>
        </w:rPr>
      </w:pPr>
      <w:r>
        <w:rPr>
          <w:color w:val="00B050"/>
        </w:rPr>
        <w:t>I - Classe 1: não requer ações;</w:t>
      </w:r>
    </w:p>
    <w:p w:rsidR="001D0343" w:rsidRDefault="00C767FB">
      <w:pPr>
        <w:autoSpaceDE w:val="0"/>
        <w:rPr>
          <w:color w:val="00B050"/>
        </w:rPr>
      </w:pPr>
      <w:r>
        <w:rPr>
          <w:color w:val="00B050"/>
        </w:rPr>
        <w:t>II - Classe 2: poderá requerer uma avaliação do órgão ambiental, incluindo a verificação da possibilidade de ocorrência natural da substância ou da existência de fontes de poluição, com indicativos de ações preventivas de controle, quando couber, não envolvendo necessariamente investigação;</w:t>
      </w:r>
    </w:p>
    <w:p w:rsidR="001D0343" w:rsidRDefault="00C767FB">
      <w:pPr>
        <w:autoSpaceDE w:val="0"/>
        <w:rPr>
          <w:color w:val="00B050"/>
        </w:rPr>
      </w:pPr>
      <w:r>
        <w:rPr>
          <w:color w:val="00B050"/>
        </w:rPr>
        <w:t>III - Classe 3: requer identificação da fonte potencial de contaminação, avaliação da ocorrência natural da substância, controle das fontes de contaminação e monitoramento da qualidade do solo e da água subterrânea;</w:t>
      </w:r>
    </w:p>
    <w:p w:rsidR="001D0343" w:rsidRDefault="00C767FB">
      <w:pPr>
        <w:rPr>
          <w:color w:val="00B050"/>
        </w:rPr>
      </w:pPr>
      <w:r>
        <w:rPr>
          <w:color w:val="00B050"/>
        </w:rPr>
        <w:lastRenderedPageBreak/>
        <w:t>IV - Classe 4: requer as ações estabelecidas no Capítulo V.</w:t>
      </w:r>
    </w:p>
    <w:p w:rsidR="001D0343" w:rsidRDefault="001D0343">
      <w:pPr>
        <w:rPr>
          <w:color w:val="00B050"/>
        </w:rPr>
      </w:pPr>
    </w:p>
    <w:p w:rsidR="001D0343" w:rsidRDefault="00C767FB">
      <w:pPr>
        <w:autoSpaceDE w:val="0"/>
        <w:rPr>
          <w:color w:val="00B050"/>
        </w:rPr>
      </w:pPr>
      <w:r>
        <w:rPr>
          <w:b/>
          <w:bCs/>
          <w:color w:val="00B050"/>
        </w:rPr>
        <w:t xml:space="preserve">Art. 21. </w:t>
      </w:r>
      <w:r>
        <w:rPr>
          <w:color w:val="00B050"/>
        </w:rPr>
        <w:t>Para o gerenciamento de áreas contaminadas, o órgão ambiental competente deverá instituir procedimentos e ações de investigação e de gestão, que contemplem as seguintes etapas, conforme ilustrado no Anexo III:</w:t>
      </w:r>
    </w:p>
    <w:p w:rsidR="001D0343" w:rsidRDefault="00C767FB">
      <w:pPr>
        <w:autoSpaceDE w:val="0"/>
        <w:rPr>
          <w:color w:val="00B050"/>
        </w:rPr>
      </w:pPr>
      <w:r>
        <w:rPr>
          <w:color w:val="00B050"/>
        </w:rPr>
        <w:t>I - Identificação: nessa etapa serão identificadas áreas suspeitas de contaminação com base em avaliação preliminar, e, para aquelas em que houver indícios de contaminação, deve ser realizada uma investigação confirmatória, às expensas do responsável, segundo as normas técnicas ou procedimentos vigentes.</w:t>
      </w:r>
    </w:p>
    <w:p w:rsidR="001D0343" w:rsidRDefault="00C767FB">
      <w:pPr>
        <w:autoSpaceDE w:val="0"/>
        <w:rPr>
          <w:color w:val="00B050"/>
        </w:rPr>
      </w:pPr>
      <w:r>
        <w:rPr>
          <w:color w:val="00B050"/>
        </w:rPr>
        <w:t>II - Diagnóstico: após a investigação confirmatória, identificando-se substâncias químicas em concentrações acima do valor de investigação, o órgão ambiental competente deverá solicitar ou executar investigação detalhada, as expensas do responsável, segundo as normas técnicas ou procedimentos vigentes e se julgar necessária, avaliação de risco com objetivo de subsidiar a etapa de intervenção;</w:t>
      </w:r>
    </w:p>
    <w:p w:rsidR="001D0343" w:rsidRDefault="00C767FB">
      <w:pPr>
        <w:autoSpaceDE w:val="0"/>
        <w:rPr>
          <w:color w:val="00B050"/>
        </w:rPr>
      </w:pPr>
      <w:r>
        <w:rPr>
          <w:color w:val="00B050"/>
        </w:rPr>
        <w:t>III - Intervenção: consiste em ações de controle para a eliminação do perigo ou redução a níveis toleráveis dos riscos identificados na etapa de diagnóstico, bem como o monitoramento da eficácia das ações executadas considerando o uso atual e futuro da área, segundo as normas técnicas ou procedimentos vigentes.</w:t>
      </w:r>
    </w:p>
    <w:p w:rsidR="001D0343" w:rsidRDefault="001D0343">
      <w:pPr>
        <w:rPr>
          <w:color w:val="00B050"/>
        </w:rPr>
      </w:pPr>
    </w:p>
    <w:p w:rsidR="001D0343" w:rsidRDefault="00C767FB">
      <w:pPr>
        <w:autoSpaceDE w:val="0"/>
        <w:rPr>
          <w:color w:val="00B050"/>
        </w:rPr>
      </w:pPr>
      <w:r>
        <w:rPr>
          <w:b/>
          <w:bCs/>
          <w:color w:val="00B050"/>
        </w:rPr>
        <w:t xml:space="preserve">Art. 34. </w:t>
      </w:r>
      <w:r>
        <w:rPr>
          <w:color w:val="00B050"/>
        </w:rPr>
        <w:t>Os responsáveis por uma área contaminada, conforme art. 31, devem submeter ao órgão ambiental competente proposta para a ação de intervenção a ser executada sob sua responsabilidade, devendo a mesma, obrigatoriamente, considerar:</w:t>
      </w:r>
    </w:p>
    <w:p w:rsidR="001D0343" w:rsidRDefault="00C767FB">
      <w:pPr>
        <w:autoSpaceDE w:val="0"/>
        <w:rPr>
          <w:color w:val="00B050"/>
        </w:rPr>
      </w:pPr>
      <w:r>
        <w:rPr>
          <w:color w:val="00B050"/>
        </w:rPr>
        <w:t>I - controle ou eliminação das fontes de contaminação;</w:t>
      </w:r>
    </w:p>
    <w:p w:rsidR="001D0343" w:rsidRDefault="00C767FB">
      <w:pPr>
        <w:autoSpaceDE w:val="0"/>
        <w:rPr>
          <w:color w:val="00B050"/>
        </w:rPr>
      </w:pPr>
      <w:r>
        <w:rPr>
          <w:color w:val="00B050"/>
        </w:rPr>
        <w:t>II - o uso do solo atual e futuro da área objeto e sua circunvizinhança;</w:t>
      </w:r>
    </w:p>
    <w:p w:rsidR="001D0343" w:rsidRDefault="00C767FB">
      <w:pPr>
        <w:autoSpaceDE w:val="0"/>
        <w:rPr>
          <w:color w:val="00B050"/>
        </w:rPr>
      </w:pPr>
      <w:r>
        <w:rPr>
          <w:color w:val="00B050"/>
        </w:rPr>
        <w:t>III - a avaliação de risco à saúde humana;</w:t>
      </w:r>
    </w:p>
    <w:p w:rsidR="001D0343" w:rsidRDefault="00C767FB">
      <w:pPr>
        <w:autoSpaceDE w:val="0"/>
        <w:rPr>
          <w:color w:val="00B050"/>
        </w:rPr>
      </w:pPr>
      <w:r>
        <w:rPr>
          <w:color w:val="00B050"/>
        </w:rPr>
        <w:t>IV - as alternativas de intervenção consideradas técnica e economicamente viáveis e suas</w:t>
      </w:r>
    </w:p>
    <w:p w:rsidR="001D0343" w:rsidRDefault="00C767FB">
      <w:pPr>
        <w:autoSpaceDE w:val="0"/>
        <w:rPr>
          <w:color w:val="00B050"/>
        </w:rPr>
      </w:pPr>
      <w:proofErr w:type="spellStart"/>
      <w:r>
        <w:rPr>
          <w:color w:val="00B050"/>
        </w:rPr>
        <w:t>consequências</w:t>
      </w:r>
      <w:proofErr w:type="spellEnd"/>
      <w:r>
        <w:rPr>
          <w:color w:val="00B050"/>
        </w:rPr>
        <w:t>; e,</w:t>
      </w:r>
    </w:p>
    <w:p w:rsidR="001D0343" w:rsidRDefault="00C767FB">
      <w:pPr>
        <w:autoSpaceDE w:val="0"/>
        <w:rPr>
          <w:color w:val="00B050"/>
        </w:rPr>
      </w:pPr>
      <w:r>
        <w:rPr>
          <w:color w:val="00B050"/>
        </w:rPr>
        <w:t>V – o programa de monitoramento da eficácia das ações executadas;</w:t>
      </w:r>
    </w:p>
    <w:p w:rsidR="001D0343" w:rsidRDefault="00C767FB">
      <w:pPr>
        <w:autoSpaceDE w:val="0"/>
        <w:rPr>
          <w:color w:val="00B050"/>
        </w:rPr>
      </w:pPr>
      <w:r>
        <w:rPr>
          <w:color w:val="00B050"/>
        </w:rPr>
        <w:t>VI - os custos e os prazos envolvidos na implementação das alternativas de intervenção propostas para atingir as metas estabelecidas.</w:t>
      </w:r>
    </w:p>
    <w:p w:rsidR="001D0343" w:rsidRDefault="001D0343">
      <w:pPr>
        <w:rPr>
          <w:color w:val="00B050"/>
        </w:rPr>
      </w:pPr>
    </w:p>
    <w:p w:rsidR="001D0343" w:rsidRDefault="00C767FB">
      <w:pPr>
        <w:autoSpaceDE w:val="0"/>
        <w:rPr>
          <w:color w:val="00B050"/>
        </w:rPr>
      </w:pPr>
      <w:r>
        <w:rPr>
          <w:color w:val="00B050"/>
        </w:rPr>
        <w:t>Parágrafo único. As alternativas de intervenção para reabilitação de áreas contaminadas poderão contemplar, de forma não excludente, as seguintes ações:</w:t>
      </w:r>
    </w:p>
    <w:p w:rsidR="001D0343" w:rsidRDefault="00C767FB">
      <w:pPr>
        <w:autoSpaceDE w:val="0"/>
        <w:rPr>
          <w:color w:val="00B050"/>
        </w:rPr>
      </w:pPr>
      <w:r>
        <w:rPr>
          <w:color w:val="00B050"/>
        </w:rPr>
        <w:t>I - eliminação de perigo ou redução a níveis toleráveis dos riscos à segurança pública, à saúde humana e ao meio ambiente;</w:t>
      </w:r>
    </w:p>
    <w:p w:rsidR="001D0343" w:rsidRDefault="00C767FB">
      <w:pPr>
        <w:autoSpaceDE w:val="0"/>
        <w:rPr>
          <w:color w:val="00B050"/>
        </w:rPr>
      </w:pPr>
      <w:r>
        <w:rPr>
          <w:color w:val="00B050"/>
        </w:rPr>
        <w:t>II - zoneamento e restrição dos usos e ocupação do solo e das águas superficiais e subterrâneas;</w:t>
      </w:r>
    </w:p>
    <w:p w:rsidR="001D0343" w:rsidRDefault="00C767FB">
      <w:pPr>
        <w:autoSpaceDE w:val="0"/>
        <w:rPr>
          <w:color w:val="00B050"/>
        </w:rPr>
      </w:pPr>
      <w:r>
        <w:rPr>
          <w:color w:val="00B050"/>
        </w:rPr>
        <w:t xml:space="preserve">III - aplicação de técnicas de </w:t>
      </w:r>
      <w:proofErr w:type="spellStart"/>
      <w:r>
        <w:rPr>
          <w:color w:val="00B050"/>
        </w:rPr>
        <w:t>remediação</w:t>
      </w:r>
      <w:proofErr w:type="spellEnd"/>
      <w:r>
        <w:rPr>
          <w:color w:val="00B050"/>
        </w:rPr>
        <w:t>; e</w:t>
      </w:r>
    </w:p>
    <w:p w:rsidR="001D0343" w:rsidRDefault="00C767FB">
      <w:pPr>
        <w:rPr>
          <w:color w:val="00B050"/>
        </w:rPr>
      </w:pPr>
      <w:r>
        <w:rPr>
          <w:color w:val="00B050"/>
        </w:rPr>
        <w:t>IV - monitoramento.</w:t>
      </w:r>
    </w:p>
    <w:p w:rsidR="001D0343" w:rsidRDefault="001D0343"/>
    <w:p w:rsidR="001D0343" w:rsidRDefault="001D0343"/>
    <w:p w:rsidR="001D0343" w:rsidRDefault="001D0343"/>
    <w:p w:rsidR="001D0343" w:rsidRDefault="001D0343"/>
    <w:p w:rsidR="001D0343" w:rsidRDefault="001D0343">
      <w:pPr>
        <w:rPr>
          <w:b/>
        </w:rPr>
      </w:pPr>
    </w:p>
    <w:p w:rsidR="001D0343" w:rsidRDefault="001D0343">
      <w:pPr>
        <w:autoSpaceDE w:val="0"/>
      </w:pPr>
    </w:p>
    <w:p w:rsidR="001D0343" w:rsidRDefault="001D0343">
      <w:pPr>
        <w:autoSpaceDE w:val="0"/>
      </w:pPr>
    </w:p>
    <w:p w:rsidR="001D0343" w:rsidRDefault="001D0343">
      <w:pPr>
        <w:autoSpaceDE w:val="0"/>
      </w:pPr>
    </w:p>
    <w:p w:rsidR="001D0343" w:rsidRDefault="001D0343">
      <w:pPr>
        <w:autoSpaceDE w:val="0"/>
      </w:pPr>
    </w:p>
    <w:p w:rsidR="001D0343" w:rsidRDefault="001D0343">
      <w:pPr>
        <w:autoSpaceDE w:val="0"/>
      </w:pPr>
    </w:p>
    <w:p w:rsidR="001D0343" w:rsidRDefault="001D0343">
      <w:pPr>
        <w:autoSpaceDE w:val="0"/>
      </w:pPr>
    </w:p>
    <w:p w:rsidR="001D0343" w:rsidRDefault="001D0343">
      <w:pPr>
        <w:autoSpaceDE w:val="0"/>
      </w:pPr>
    </w:p>
    <w:p w:rsidR="001D0343" w:rsidRDefault="001D0343">
      <w:pPr>
        <w:autoSpaceDE w:val="0"/>
      </w:pPr>
    </w:p>
    <w:p w:rsidR="001D0343" w:rsidRDefault="001D0343">
      <w:pPr>
        <w:autoSpaceDE w:val="0"/>
      </w:pPr>
    </w:p>
    <w:p w:rsidR="001D0343" w:rsidRDefault="001D0343">
      <w:pPr>
        <w:autoSpaceDE w:val="0"/>
      </w:pPr>
    </w:p>
    <w:p w:rsidR="001D0343" w:rsidRDefault="001D0343">
      <w:pPr>
        <w:autoSpaceDE w:val="0"/>
      </w:pPr>
    </w:p>
    <w:p w:rsidR="001D0343" w:rsidRDefault="001D0343">
      <w:pPr>
        <w:autoSpaceDE w:val="0"/>
      </w:pPr>
    </w:p>
    <w:p w:rsidR="001D0343" w:rsidRDefault="001D0343">
      <w:pPr>
        <w:autoSpaceDE w:val="0"/>
        <w:spacing w:before="113" w:line="238" w:lineRule="exact"/>
        <w:jc w:val="both"/>
        <w:rPr>
          <w:rFonts w:cs="Tahoma"/>
        </w:rPr>
      </w:pPr>
    </w:p>
    <w:p w:rsidR="001D0343" w:rsidRDefault="001D0343">
      <w:pPr>
        <w:autoSpaceDE w:val="0"/>
        <w:spacing w:before="113" w:line="238" w:lineRule="exact"/>
        <w:jc w:val="both"/>
        <w:rPr>
          <w:rFonts w:cs="Tahoma"/>
        </w:rPr>
      </w:pPr>
    </w:p>
    <w:p w:rsidR="001D0343" w:rsidRDefault="001D0343">
      <w:pPr>
        <w:autoSpaceDE w:val="0"/>
        <w:spacing w:before="113" w:line="238" w:lineRule="exact"/>
        <w:jc w:val="both"/>
        <w:rPr>
          <w:rFonts w:cs="Tahoma"/>
        </w:rPr>
      </w:pPr>
    </w:p>
    <w:p w:rsidR="001D0343" w:rsidRDefault="001D0343">
      <w:pPr>
        <w:autoSpaceDE w:val="0"/>
        <w:spacing w:before="113" w:line="238" w:lineRule="exact"/>
        <w:jc w:val="both"/>
      </w:pPr>
    </w:p>
    <w:tbl>
      <w:tblPr>
        <w:tblW w:w="0" w:type="auto"/>
        <w:tblInd w:w="55" w:type="dxa"/>
        <w:tblLayout w:type="fixed"/>
        <w:tblCellMar>
          <w:top w:w="55" w:type="dxa"/>
          <w:left w:w="55" w:type="dxa"/>
          <w:bottom w:w="55" w:type="dxa"/>
          <w:right w:w="55" w:type="dxa"/>
        </w:tblCellMar>
        <w:tblLook w:val="0000"/>
      </w:tblPr>
      <w:tblGrid>
        <w:gridCol w:w="4670"/>
        <w:gridCol w:w="4675"/>
      </w:tblGrid>
      <w:tr w:rsidR="001D0343">
        <w:tc>
          <w:tcPr>
            <w:tcW w:w="4670" w:type="dxa"/>
          </w:tcPr>
          <w:p w:rsidR="001D0343" w:rsidRDefault="001D0343">
            <w:pPr>
              <w:tabs>
                <w:tab w:val="left" w:pos="0"/>
                <w:tab w:val="left" w:pos="360"/>
              </w:tabs>
              <w:snapToGrid w:val="0"/>
              <w:spacing w:before="113" w:line="238" w:lineRule="exact"/>
              <w:jc w:val="center"/>
              <w:rPr>
                <w:rFonts w:eastAsia="ArialMT" w:cs="ArialMT"/>
                <w:b/>
                <w:bCs/>
              </w:rPr>
            </w:pPr>
          </w:p>
        </w:tc>
        <w:tc>
          <w:tcPr>
            <w:tcW w:w="4675" w:type="dxa"/>
          </w:tcPr>
          <w:p w:rsidR="001D0343" w:rsidRDefault="001D0343">
            <w:pPr>
              <w:pStyle w:val="Contedodatabela"/>
              <w:snapToGrid w:val="0"/>
              <w:spacing w:before="113" w:line="238" w:lineRule="exact"/>
              <w:jc w:val="center"/>
              <w:rPr>
                <w:rFonts w:eastAsia="Calibri" w:cs="Calibri"/>
                <w:b/>
                <w:bCs/>
              </w:rPr>
            </w:pPr>
          </w:p>
        </w:tc>
      </w:tr>
      <w:tr w:rsidR="001D0343">
        <w:tc>
          <w:tcPr>
            <w:tcW w:w="4670" w:type="dxa"/>
          </w:tcPr>
          <w:p w:rsidR="001D0343" w:rsidRDefault="001D0343">
            <w:pPr>
              <w:tabs>
                <w:tab w:val="left" w:pos="0"/>
                <w:tab w:val="left" w:pos="360"/>
              </w:tabs>
              <w:snapToGrid w:val="0"/>
              <w:spacing w:before="113" w:line="238" w:lineRule="exact"/>
              <w:jc w:val="center"/>
              <w:rPr>
                <w:rFonts w:eastAsia="Calibri" w:cs="Calibri"/>
                <w:b/>
                <w:bCs/>
              </w:rPr>
            </w:pPr>
          </w:p>
        </w:tc>
        <w:tc>
          <w:tcPr>
            <w:tcW w:w="4675" w:type="dxa"/>
          </w:tcPr>
          <w:p w:rsidR="001D0343" w:rsidRDefault="001D0343">
            <w:pPr>
              <w:pStyle w:val="Contedodatabela"/>
              <w:snapToGrid w:val="0"/>
              <w:spacing w:before="113" w:line="238" w:lineRule="exact"/>
              <w:jc w:val="center"/>
              <w:rPr>
                <w:rFonts w:eastAsia="Calibri" w:cs="Calibri"/>
                <w:b/>
                <w:bCs/>
              </w:rPr>
            </w:pPr>
          </w:p>
        </w:tc>
      </w:tr>
    </w:tbl>
    <w:p w:rsidR="00C767FB" w:rsidRDefault="00C767FB">
      <w:pPr>
        <w:pStyle w:val="Default"/>
        <w:spacing w:before="113" w:line="238" w:lineRule="exact"/>
        <w:jc w:val="center"/>
      </w:pPr>
    </w:p>
    <w:sectPr w:rsidR="00C767FB" w:rsidSect="001D0343">
      <w:footnotePr>
        <w:pos w:val="beneathText"/>
      </w:footnotePr>
      <w:pgSz w:w="11905" w:h="16837"/>
      <w:pgMar w:top="1134"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Lucida Sans Unicode">
    <w:panose1 w:val="020B0602030504020204"/>
    <w:charset w:val="00"/>
    <w:family w:val="swiss"/>
    <w:pitch w:val="variable"/>
    <w:sig w:usb0="80000AFF" w:usb1="0000396B" w:usb2="00000000" w:usb3="00000000" w:csb0="0000003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imesNewRomanPS-ItalicMT">
    <w:altName w:val="Times New Roman"/>
    <w:charset w:val="00"/>
    <w:family w:val="auto"/>
    <w:pitch w:val="default"/>
    <w:sig w:usb0="00000000" w:usb1="00000000" w:usb2="00000000" w:usb3="00000000" w:csb0="00000000" w:csb1="00000000"/>
  </w:font>
  <w:font w:name="TimesNewRomanPSMT">
    <w:altName w:val="Times New Roman"/>
    <w:charset w:val="00"/>
    <w:family w:val="auto"/>
    <w:pitch w:val="default"/>
    <w:sig w:usb0="00000000" w:usb1="00000000" w:usb2="00000000" w:usb3="00000000" w:csb0="00000000" w:csb1="00000000"/>
  </w:font>
  <w:font w:name="TimesNewRomanPS-BoldMT">
    <w:altName w:val="Times New Roman"/>
    <w:charset w:val="00"/>
    <w:family w:val="auto"/>
    <w:pitch w:val="default"/>
    <w:sig w:usb0="00000000" w:usb1="00000000" w:usb2="00000000" w:usb3="00000000" w:csb0="00000000" w:csb1="00000000"/>
  </w:font>
  <w:font w:name="MS Sans Serif">
    <w:altName w:val="Times New Roman"/>
    <w:charset w:val="00"/>
    <w:family w:val="roman"/>
    <w:pitch w:val="default"/>
    <w:sig w:usb0="00000000" w:usb1="00000000" w:usb2="00000000" w:usb3="00000000" w:csb0="00000000" w:csb1="00000000"/>
  </w:font>
  <w:font w:name="ArialMT">
    <w:charset w:val="00"/>
    <w:family w:val="swiss"/>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lowerLetter"/>
      <w:lvlText w:val="%1)"/>
      <w:lvlJc w:val="left"/>
      <w:pPr>
        <w:tabs>
          <w:tab w:val="num" w:pos="1770"/>
        </w:tabs>
        <w:ind w:left="1770" w:hanging="360"/>
      </w:pPr>
    </w:lvl>
  </w:abstractNum>
  <w:abstractNum w:abstractNumId="1">
    <w:nsid w:val="00000002"/>
    <w:multiLevelType w:val="singleLevel"/>
    <w:tmpl w:val="00000002"/>
    <w:name w:val="WW8Num2"/>
    <w:lvl w:ilvl="0">
      <w:start w:val="1"/>
      <w:numFmt w:val="lowerLetter"/>
      <w:lvlText w:val="%1)"/>
      <w:lvlJc w:val="left"/>
      <w:pPr>
        <w:tabs>
          <w:tab w:val="num" w:pos="1770"/>
        </w:tabs>
        <w:ind w:left="1770" w:hanging="360"/>
      </w:pPr>
    </w:lvl>
  </w:abstractNum>
  <w:abstractNum w:abstractNumId="2">
    <w:nsid w:val="00000003"/>
    <w:multiLevelType w:val="singleLevel"/>
    <w:tmpl w:val="00000003"/>
    <w:name w:val="WW8Num3"/>
    <w:lvl w:ilvl="0">
      <w:start w:val="1"/>
      <w:numFmt w:val="lowerLetter"/>
      <w:lvlText w:val="%1)"/>
      <w:lvlJc w:val="left"/>
      <w:pPr>
        <w:tabs>
          <w:tab w:val="num" w:pos="1770"/>
        </w:tabs>
        <w:ind w:left="1770" w:hanging="360"/>
      </w:pPr>
    </w:lvl>
  </w:abstractNum>
  <w:abstractNum w:abstractNumId="3">
    <w:nsid w:val="00000004"/>
    <w:multiLevelType w:val="singleLevel"/>
    <w:tmpl w:val="00000004"/>
    <w:name w:val="WW8Num4"/>
    <w:lvl w:ilvl="0">
      <w:start w:val="1"/>
      <w:numFmt w:val="lowerLetter"/>
      <w:lvlText w:val="%1)"/>
      <w:lvlJc w:val="left"/>
      <w:pPr>
        <w:tabs>
          <w:tab w:val="num" w:pos="1773"/>
        </w:tabs>
        <w:ind w:left="1773" w:hanging="360"/>
      </w:pPr>
    </w:lvl>
  </w:abstractNum>
  <w:abstractNum w:abstractNumId="4">
    <w:nsid w:val="00000005"/>
    <w:multiLevelType w:val="multilevel"/>
    <w:tmpl w:val="00000005"/>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5">
    <w:nsid w:val="29375906"/>
    <w:multiLevelType w:val="hybridMultilevel"/>
    <w:tmpl w:val="2CE22334"/>
    <w:lvl w:ilvl="0" w:tplc="3BBE5B3A">
      <w:start w:val="1"/>
      <w:numFmt w:val="upperRoman"/>
      <w:lvlText w:val="%1-"/>
      <w:lvlJc w:val="left"/>
      <w:pPr>
        <w:ind w:left="1425" w:hanging="72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6">
    <w:nsid w:val="6CBC4057"/>
    <w:multiLevelType w:val="hybridMultilevel"/>
    <w:tmpl w:val="2CE22334"/>
    <w:lvl w:ilvl="0" w:tplc="3BBE5B3A">
      <w:start w:val="1"/>
      <w:numFmt w:val="upperRoman"/>
      <w:lvlText w:val="%1-"/>
      <w:lvlJc w:val="left"/>
      <w:pPr>
        <w:ind w:left="1425" w:hanging="72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proofState w:spelling="clean" w:grammar="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compat>
  <w:rsids>
    <w:rsidRoot w:val="00924E25"/>
    <w:rsid w:val="000B4F4C"/>
    <w:rsid w:val="000B7FF1"/>
    <w:rsid w:val="00101FBD"/>
    <w:rsid w:val="00125179"/>
    <w:rsid w:val="0019733B"/>
    <w:rsid w:val="001D0343"/>
    <w:rsid w:val="00244CDF"/>
    <w:rsid w:val="002F6DCE"/>
    <w:rsid w:val="003007A3"/>
    <w:rsid w:val="003C7220"/>
    <w:rsid w:val="003F3683"/>
    <w:rsid w:val="00416D4E"/>
    <w:rsid w:val="00446CA7"/>
    <w:rsid w:val="00467E41"/>
    <w:rsid w:val="004915D4"/>
    <w:rsid w:val="004F4036"/>
    <w:rsid w:val="005F1B59"/>
    <w:rsid w:val="00664B8A"/>
    <w:rsid w:val="00674DD1"/>
    <w:rsid w:val="006A1725"/>
    <w:rsid w:val="006F379A"/>
    <w:rsid w:val="006F3EBB"/>
    <w:rsid w:val="008219C8"/>
    <w:rsid w:val="00854F02"/>
    <w:rsid w:val="00877970"/>
    <w:rsid w:val="008C7233"/>
    <w:rsid w:val="00924E25"/>
    <w:rsid w:val="00A320FE"/>
    <w:rsid w:val="00A7178F"/>
    <w:rsid w:val="00A949C7"/>
    <w:rsid w:val="00AB7181"/>
    <w:rsid w:val="00AE0170"/>
    <w:rsid w:val="00AE233B"/>
    <w:rsid w:val="00B30E3C"/>
    <w:rsid w:val="00B62C74"/>
    <w:rsid w:val="00C767FB"/>
    <w:rsid w:val="00CF01F7"/>
    <w:rsid w:val="00D0650C"/>
    <w:rsid w:val="00E843D7"/>
    <w:rsid w:val="00ED4B72"/>
    <w:rsid w:val="00F26045"/>
    <w:rsid w:val="00F86742"/>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343"/>
    <w:pPr>
      <w:widowControl w:val="0"/>
      <w:suppressAutoHyphens/>
    </w:pPr>
    <w:rPr>
      <w:rFonts w:eastAsia="Lucida Sans Unicode"/>
      <w:kern w:val="1"/>
      <w:sz w:val="24"/>
      <w:szCs w:val="24"/>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Fontepargpadro2">
    <w:name w:val="Fonte parág. padrão2"/>
    <w:rsid w:val="001D0343"/>
  </w:style>
  <w:style w:type="character" w:customStyle="1" w:styleId="Absatz-Standardschriftart">
    <w:name w:val="Absatz-Standardschriftart"/>
    <w:rsid w:val="001D0343"/>
  </w:style>
  <w:style w:type="character" w:customStyle="1" w:styleId="WW-Absatz-Standardschriftart">
    <w:name w:val="WW-Absatz-Standardschriftart"/>
    <w:rsid w:val="001D0343"/>
  </w:style>
  <w:style w:type="character" w:customStyle="1" w:styleId="WW-Absatz-Standardschriftart1">
    <w:name w:val="WW-Absatz-Standardschriftart1"/>
    <w:rsid w:val="001D0343"/>
  </w:style>
  <w:style w:type="character" w:customStyle="1" w:styleId="WW-Absatz-Standardschriftart11">
    <w:name w:val="WW-Absatz-Standardschriftart11"/>
    <w:rsid w:val="001D0343"/>
  </w:style>
  <w:style w:type="character" w:customStyle="1" w:styleId="Fontepargpadro1">
    <w:name w:val="Fonte parág. padrão1"/>
    <w:rsid w:val="001D0343"/>
  </w:style>
  <w:style w:type="character" w:customStyle="1" w:styleId="WW-Absatz-Standardschriftart111">
    <w:name w:val="WW-Absatz-Standardschriftart111"/>
    <w:rsid w:val="001D0343"/>
  </w:style>
  <w:style w:type="character" w:customStyle="1" w:styleId="WW-Absatz-Standardschriftart1111">
    <w:name w:val="WW-Absatz-Standardschriftart1111"/>
    <w:rsid w:val="001D0343"/>
  </w:style>
  <w:style w:type="character" w:customStyle="1" w:styleId="WW-Absatz-Standardschriftart11111">
    <w:name w:val="WW-Absatz-Standardschriftart11111"/>
    <w:rsid w:val="001D0343"/>
  </w:style>
  <w:style w:type="character" w:customStyle="1" w:styleId="WW-Absatz-Standardschriftart111111">
    <w:name w:val="WW-Absatz-Standardschriftart111111"/>
    <w:rsid w:val="001D0343"/>
  </w:style>
  <w:style w:type="character" w:customStyle="1" w:styleId="WW-Absatz-Standardschriftart1111111">
    <w:name w:val="WW-Absatz-Standardschriftart1111111"/>
    <w:rsid w:val="001D0343"/>
  </w:style>
  <w:style w:type="character" w:customStyle="1" w:styleId="WW-Absatz-Standardschriftart11111111">
    <w:name w:val="WW-Absatz-Standardschriftart11111111"/>
    <w:rsid w:val="001D0343"/>
  </w:style>
  <w:style w:type="character" w:styleId="Hyperlink">
    <w:name w:val="Hyperlink"/>
    <w:basedOn w:val="Fontepargpadro1"/>
    <w:semiHidden/>
    <w:rsid w:val="001D0343"/>
    <w:rPr>
      <w:strike w:val="0"/>
      <w:dstrike w:val="0"/>
      <w:color w:val="0000FF"/>
      <w:u w:val="none"/>
    </w:rPr>
  </w:style>
  <w:style w:type="paragraph" w:customStyle="1" w:styleId="Captulo">
    <w:name w:val="Capítulo"/>
    <w:basedOn w:val="Normal"/>
    <w:next w:val="Corpodetexto"/>
    <w:rsid w:val="001D0343"/>
    <w:pPr>
      <w:keepNext/>
      <w:spacing w:before="240" w:after="120"/>
    </w:pPr>
    <w:rPr>
      <w:rFonts w:ascii="Arial" w:hAnsi="Arial" w:cs="Tahoma"/>
      <w:sz w:val="28"/>
      <w:szCs w:val="28"/>
    </w:rPr>
  </w:style>
  <w:style w:type="paragraph" w:styleId="Corpodetexto">
    <w:name w:val="Body Text"/>
    <w:basedOn w:val="Normal"/>
    <w:semiHidden/>
    <w:rsid w:val="001D0343"/>
    <w:pPr>
      <w:spacing w:after="120"/>
    </w:pPr>
  </w:style>
  <w:style w:type="paragraph" w:styleId="Lista">
    <w:name w:val="List"/>
    <w:basedOn w:val="Corpodetexto"/>
    <w:semiHidden/>
    <w:rsid w:val="001D0343"/>
    <w:rPr>
      <w:rFonts w:cs="Tahoma"/>
    </w:rPr>
  </w:style>
  <w:style w:type="paragraph" w:customStyle="1" w:styleId="Legenda3">
    <w:name w:val="Legenda3"/>
    <w:basedOn w:val="Normal"/>
    <w:rsid w:val="001D0343"/>
    <w:pPr>
      <w:suppressLineNumbers/>
      <w:spacing w:before="120" w:after="120"/>
    </w:pPr>
    <w:rPr>
      <w:rFonts w:cs="Tahoma"/>
      <w:i/>
      <w:iCs/>
    </w:rPr>
  </w:style>
  <w:style w:type="paragraph" w:customStyle="1" w:styleId="ndice">
    <w:name w:val="Índice"/>
    <w:basedOn w:val="Normal"/>
    <w:rsid w:val="001D0343"/>
    <w:pPr>
      <w:suppressLineNumbers/>
    </w:pPr>
    <w:rPr>
      <w:rFonts w:cs="Tahoma"/>
    </w:rPr>
  </w:style>
  <w:style w:type="paragraph" w:customStyle="1" w:styleId="Legenda2">
    <w:name w:val="Legenda2"/>
    <w:basedOn w:val="Normal"/>
    <w:rsid w:val="001D0343"/>
    <w:pPr>
      <w:suppressLineNumbers/>
      <w:spacing w:before="120" w:after="120"/>
    </w:pPr>
    <w:rPr>
      <w:rFonts w:cs="Tahoma"/>
      <w:i/>
      <w:iCs/>
      <w:sz w:val="20"/>
      <w:szCs w:val="20"/>
    </w:rPr>
  </w:style>
  <w:style w:type="paragraph" w:customStyle="1" w:styleId="Legenda1">
    <w:name w:val="Legenda1"/>
    <w:basedOn w:val="Normal"/>
    <w:rsid w:val="001D0343"/>
    <w:pPr>
      <w:suppressLineNumbers/>
      <w:spacing w:before="120" w:after="120"/>
    </w:pPr>
    <w:rPr>
      <w:rFonts w:cs="Tahoma"/>
      <w:i/>
      <w:iCs/>
    </w:rPr>
  </w:style>
  <w:style w:type="paragraph" w:customStyle="1" w:styleId="Default">
    <w:name w:val="Default"/>
    <w:rsid w:val="001D0343"/>
    <w:pPr>
      <w:widowControl w:val="0"/>
      <w:suppressAutoHyphens/>
      <w:autoSpaceDE w:val="0"/>
    </w:pPr>
    <w:rPr>
      <w:rFonts w:eastAsia="Arial" w:cs="Calibri"/>
      <w:color w:val="000000"/>
      <w:kern w:val="1"/>
      <w:sz w:val="24"/>
      <w:szCs w:val="24"/>
      <w:lang w:eastAsia="ar-SA"/>
    </w:rPr>
  </w:style>
  <w:style w:type="paragraph" w:styleId="NormalWeb">
    <w:name w:val="Normal (Web)"/>
    <w:basedOn w:val="Normal"/>
    <w:rsid w:val="001D0343"/>
    <w:pPr>
      <w:spacing w:before="100" w:after="100"/>
    </w:pPr>
    <w:rPr>
      <w:rFonts w:eastAsia="Times New Roman"/>
      <w:lang w:val="en-US"/>
    </w:rPr>
  </w:style>
  <w:style w:type="paragraph" w:customStyle="1" w:styleId="Contedodatabela">
    <w:name w:val="Conteúdo da tabela"/>
    <w:basedOn w:val="Normal"/>
    <w:rsid w:val="001D0343"/>
    <w:pPr>
      <w:suppressLineNumbers/>
    </w:pPr>
  </w:style>
  <w:style w:type="paragraph" w:customStyle="1" w:styleId="Ttulodatabela">
    <w:name w:val="Título da tabela"/>
    <w:basedOn w:val="Contedodatabela"/>
    <w:rsid w:val="001D0343"/>
    <w:pPr>
      <w:jc w:val="center"/>
    </w:pPr>
    <w:rPr>
      <w:b/>
      <w:bCs/>
    </w:rPr>
  </w:style>
  <w:style w:type="paragraph" w:customStyle="1" w:styleId="textoazul10px">
    <w:name w:val="textoazul10px"/>
    <w:basedOn w:val="Normal"/>
    <w:rsid w:val="001D0343"/>
    <w:pPr>
      <w:spacing w:before="280" w:after="280"/>
    </w:pPr>
    <w:rPr>
      <w:rFonts w:ascii="Verdana" w:hAnsi="Verdana"/>
      <w:sz w:val="15"/>
      <w:szCs w:val="15"/>
    </w:rPr>
  </w:style>
  <w:style w:type="paragraph" w:styleId="PargrafodaLista">
    <w:name w:val="List Paragraph"/>
    <w:basedOn w:val="Normal"/>
    <w:uiPriority w:val="34"/>
    <w:qFormat/>
    <w:rsid w:val="00A949C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nrh-srh.gov.br/delibera/resolucoes/R015.htm" TargetMode="Externa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308</TotalTime>
  <Pages>11</Pages>
  <Words>4125</Words>
  <Characters>22281</Characters>
  <Application>Microsoft Office Word</Application>
  <DocSecurity>0</DocSecurity>
  <Lines>185</Lines>
  <Paragraphs>52</Paragraphs>
  <ScaleCrop>false</ScaleCrop>
  <HeadingPairs>
    <vt:vector size="2" baseType="variant">
      <vt:variant>
        <vt:lpstr>Título</vt:lpstr>
      </vt:variant>
      <vt:variant>
        <vt:i4>1</vt:i4>
      </vt:variant>
    </vt:vector>
  </HeadingPairs>
  <TitlesOfParts>
    <vt:vector size="1" baseType="lpstr">
      <vt:lpstr>MINISTÉRIO DO MEIO AMBIENTE</vt:lpstr>
    </vt:vector>
  </TitlesOfParts>
  <Company>ABC</Company>
  <LinksUpToDate>false</LinksUpToDate>
  <CharactersWithSpaces>26354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MINISTÉRIO DO MEIO AMBIENTE</dc:title>
  <dc:subject/>
  <dc:creator>user</dc:creator>
  <cp:keywords/>
  <cp:lastModifiedBy>Up Grade Audiovisual</cp:lastModifiedBy>
  <cp:revision>13</cp:revision>
  <cp:lastPrinted>2113-01-01T01:00:00Z</cp:lastPrinted>
  <dcterms:created xsi:type="dcterms:W3CDTF">2009-11-24T16:48:00Z</dcterms:created>
  <dcterms:modified xsi:type="dcterms:W3CDTF">2009-11-25T12:54:00Z</dcterms:modified>
</cp:coreProperties>
</file>